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19" w:rsidRDefault="00943C19" w:rsidP="008F0AA1">
      <w:pPr>
        <w:jc w:val="both"/>
        <w:rPr>
          <w:rFonts w:cs="Arial"/>
          <w:b/>
          <w:sz w:val="28"/>
          <w:szCs w:val="28"/>
        </w:rPr>
      </w:pPr>
    </w:p>
    <w:p w:rsidR="00943C19" w:rsidRDefault="00943C19" w:rsidP="008F0AA1">
      <w:pPr>
        <w:jc w:val="both"/>
        <w:rPr>
          <w:rFonts w:cs="Arial"/>
          <w:b/>
          <w:sz w:val="28"/>
          <w:szCs w:val="28"/>
        </w:rPr>
      </w:pPr>
    </w:p>
    <w:p w:rsidR="008F0AA1" w:rsidRDefault="00943C19" w:rsidP="008F0AA1">
      <w:pPr>
        <w:jc w:val="both"/>
        <w:rPr>
          <w:rFonts w:cs="Arial"/>
          <w:b/>
          <w:sz w:val="28"/>
          <w:szCs w:val="28"/>
        </w:rPr>
      </w:pPr>
      <w:r>
        <w:rPr>
          <w:rFonts w:cs="Arial"/>
          <w:b/>
          <w:sz w:val="28"/>
          <w:szCs w:val="28"/>
        </w:rPr>
        <w:t xml:space="preserve">2017/18 </w:t>
      </w:r>
      <w:r w:rsidRPr="00763986">
        <w:rPr>
          <w:rFonts w:cs="Arial"/>
          <w:b/>
          <w:sz w:val="28"/>
          <w:szCs w:val="28"/>
        </w:rPr>
        <w:t>Treasury Management Activity</w:t>
      </w:r>
    </w:p>
    <w:p w:rsidR="008F0AA1" w:rsidRPr="003719B4" w:rsidRDefault="00943C19" w:rsidP="008F0AA1">
      <w:pPr>
        <w:jc w:val="both"/>
        <w:rPr>
          <w:rFonts w:cs="Arial"/>
          <w:sz w:val="28"/>
          <w:szCs w:val="28"/>
        </w:rPr>
      </w:pPr>
      <w:r w:rsidRPr="003719B4">
        <w:rPr>
          <w:rFonts w:cs="Arial"/>
          <w:sz w:val="28"/>
          <w:szCs w:val="28"/>
        </w:rPr>
        <w:t>August to November 2017</w:t>
      </w:r>
    </w:p>
    <w:p w:rsidR="008F0AA1" w:rsidRPr="00763986" w:rsidRDefault="00943C19" w:rsidP="008F0AA1">
      <w:pPr>
        <w:pStyle w:val="ListParagraph"/>
        <w:ind w:left="0"/>
        <w:jc w:val="both"/>
        <w:rPr>
          <w:rFonts w:cs="Arial"/>
          <w:b/>
          <w:szCs w:val="24"/>
        </w:rPr>
      </w:pPr>
    </w:p>
    <w:p w:rsidR="008F0AA1" w:rsidRPr="003719B4" w:rsidRDefault="00943C19" w:rsidP="008F0AA1">
      <w:pPr>
        <w:jc w:val="both"/>
        <w:rPr>
          <w:rFonts w:cs="Arial"/>
          <w:b/>
          <w:szCs w:val="24"/>
        </w:rPr>
      </w:pPr>
      <w:r w:rsidRPr="003719B4">
        <w:rPr>
          <w:rFonts w:cs="Arial"/>
          <w:b/>
          <w:szCs w:val="24"/>
        </w:rPr>
        <w:t>Background</w:t>
      </w:r>
    </w:p>
    <w:p w:rsidR="008F0AA1" w:rsidRPr="00763986" w:rsidRDefault="00943C19" w:rsidP="008F0AA1">
      <w:pPr>
        <w:ind w:right="96"/>
        <w:jc w:val="both"/>
        <w:rPr>
          <w:rFonts w:cs="Arial"/>
          <w:szCs w:val="24"/>
        </w:rPr>
      </w:pPr>
      <w:r w:rsidRPr="00763986">
        <w:rPr>
          <w:rFonts w:cs="Arial"/>
          <w:szCs w:val="24"/>
        </w:rPr>
        <w:t xml:space="preserve">The </w:t>
      </w:r>
      <w:r>
        <w:rPr>
          <w:rFonts w:cs="Arial"/>
          <w:szCs w:val="24"/>
        </w:rPr>
        <w:t>c</w:t>
      </w:r>
      <w:r w:rsidRPr="00763986">
        <w:rPr>
          <w:rFonts w:cs="Arial"/>
          <w:szCs w:val="24"/>
        </w:rPr>
        <w:t xml:space="preserve">ounty </w:t>
      </w:r>
      <w:r>
        <w:rPr>
          <w:rFonts w:cs="Arial"/>
          <w:szCs w:val="24"/>
        </w:rPr>
        <w:t>c</w:t>
      </w:r>
      <w:r w:rsidRPr="00763986">
        <w:rPr>
          <w:rFonts w:cs="Arial"/>
          <w:szCs w:val="24"/>
        </w:rPr>
        <w:t xml:space="preserve">ouncil’s </w:t>
      </w:r>
      <w:r>
        <w:rPr>
          <w:rFonts w:cs="Arial"/>
          <w:szCs w:val="24"/>
        </w:rPr>
        <w:t>t</w:t>
      </w:r>
      <w:r w:rsidRPr="00763986">
        <w:rPr>
          <w:rFonts w:cs="Arial"/>
          <w:szCs w:val="24"/>
        </w:rPr>
        <w:t xml:space="preserve">reasury </w:t>
      </w:r>
      <w:r>
        <w:rPr>
          <w:rFonts w:cs="Arial"/>
          <w:szCs w:val="24"/>
        </w:rPr>
        <w:t>m</w:t>
      </w:r>
      <w:r w:rsidRPr="00763986">
        <w:rPr>
          <w:rFonts w:cs="Arial"/>
          <w:szCs w:val="24"/>
        </w:rPr>
        <w:t xml:space="preserve">anagement activity is underpinned by CIPFA’s Code of Practice on Treasury Management (“the Code”), which requires authorities to produce </w:t>
      </w:r>
      <w:r w:rsidRPr="00763986">
        <w:rPr>
          <w:rFonts w:cs="Arial"/>
          <w:szCs w:val="24"/>
        </w:rPr>
        <w:t>annually Prudential Indicators and a Treasury Management Strategy on the likely financing and investment activity. The Code also recommends that members are informed of treasury management activit</w:t>
      </w:r>
      <w:r>
        <w:rPr>
          <w:rFonts w:cs="Arial"/>
          <w:szCs w:val="24"/>
        </w:rPr>
        <w:t>y</w:t>
      </w:r>
      <w:r w:rsidRPr="00763986">
        <w:rPr>
          <w:rFonts w:cs="Arial"/>
          <w:szCs w:val="24"/>
        </w:rPr>
        <w:t xml:space="preserve"> at least twice a year. </w:t>
      </w:r>
    </w:p>
    <w:p w:rsidR="008F0AA1" w:rsidRPr="00763986" w:rsidRDefault="00943C19" w:rsidP="008F0AA1">
      <w:pPr>
        <w:ind w:right="96"/>
        <w:jc w:val="both"/>
        <w:rPr>
          <w:rFonts w:cs="Arial"/>
          <w:szCs w:val="24"/>
        </w:rPr>
      </w:pPr>
    </w:p>
    <w:p w:rsidR="008F0AA1" w:rsidRPr="00763986" w:rsidRDefault="00943C19" w:rsidP="008F0AA1">
      <w:pPr>
        <w:jc w:val="both"/>
        <w:rPr>
          <w:rFonts w:cs="Arial"/>
          <w:szCs w:val="24"/>
        </w:rPr>
      </w:pPr>
      <w:r w:rsidRPr="00763986">
        <w:rPr>
          <w:rFonts w:cs="Arial"/>
          <w:szCs w:val="24"/>
        </w:rPr>
        <w:t>This report considers treasury ma</w:t>
      </w:r>
      <w:r w:rsidRPr="00763986">
        <w:rPr>
          <w:rFonts w:cs="Arial"/>
          <w:szCs w:val="24"/>
        </w:rPr>
        <w:t>nagement activity between 1</w:t>
      </w:r>
      <w:r w:rsidRPr="00763986">
        <w:rPr>
          <w:rFonts w:cs="Arial"/>
          <w:szCs w:val="24"/>
          <w:vertAlign w:val="superscript"/>
        </w:rPr>
        <w:t>st</w:t>
      </w:r>
      <w:r w:rsidRPr="00763986">
        <w:rPr>
          <w:rFonts w:cs="Arial"/>
          <w:szCs w:val="24"/>
        </w:rPr>
        <w:t xml:space="preserve"> A</w:t>
      </w:r>
      <w:r>
        <w:rPr>
          <w:rFonts w:cs="Arial"/>
          <w:szCs w:val="24"/>
        </w:rPr>
        <w:t xml:space="preserve">ugust </w:t>
      </w:r>
      <w:r w:rsidRPr="00763986">
        <w:rPr>
          <w:rFonts w:cs="Arial"/>
          <w:szCs w:val="24"/>
        </w:rPr>
        <w:t xml:space="preserve">2017 and </w:t>
      </w:r>
      <w:r>
        <w:rPr>
          <w:rFonts w:cs="Arial"/>
          <w:szCs w:val="24"/>
        </w:rPr>
        <w:t>30</w:t>
      </w:r>
      <w:r>
        <w:rPr>
          <w:rFonts w:cs="Arial"/>
          <w:szCs w:val="24"/>
          <w:vertAlign w:val="superscript"/>
        </w:rPr>
        <w:t xml:space="preserve">th </w:t>
      </w:r>
      <w:r>
        <w:rPr>
          <w:rFonts w:cs="Arial"/>
          <w:szCs w:val="24"/>
        </w:rPr>
        <w:t>November</w:t>
      </w:r>
      <w:r w:rsidRPr="00763986">
        <w:rPr>
          <w:rFonts w:cs="Arial"/>
          <w:szCs w:val="24"/>
        </w:rPr>
        <w:t xml:space="preserve"> 2017.</w:t>
      </w:r>
    </w:p>
    <w:p w:rsidR="008F0AA1" w:rsidRPr="00763986" w:rsidRDefault="00943C19" w:rsidP="008F0AA1">
      <w:pPr>
        <w:jc w:val="both"/>
        <w:rPr>
          <w:rFonts w:cs="Arial"/>
          <w:b/>
          <w:szCs w:val="24"/>
          <w:highlight w:val="green"/>
        </w:rPr>
      </w:pPr>
    </w:p>
    <w:p w:rsidR="008F0AA1" w:rsidRPr="003719B4" w:rsidRDefault="00943C19" w:rsidP="008F0AA1">
      <w:pPr>
        <w:jc w:val="both"/>
        <w:rPr>
          <w:rFonts w:cs="Arial"/>
          <w:b/>
          <w:szCs w:val="24"/>
        </w:rPr>
      </w:pPr>
      <w:r w:rsidRPr="003719B4">
        <w:rPr>
          <w:rFonts w:cs="Arial"/>
          <w:b/>
          <w:szCs w:val="24"/>
        </w:rPr>
        <w:t>Economic Context in the period</w:t>
      </w:r>
    </w:p>
    <w:p w:rsidR="008F0AA1" w:rsidRPr="00FF6C49" w:rsidRDefault="00943C19" w:rsidP="008F0AA1">
      <w:pPr>
        <w:jc w:val="both"/>
        <w:rPr>
          <w:rFonts w:cs="Arial"/>
          <w:szCs w:val="24"/>
        </w:rPr>
      </w:pPr>
      <w:r>
        <w:rPr>
          <w:rFonts w:cs="Arial"/>
          <w:szCs w:val="24"/>
        </w:rPr>
        <w:t>During t</w:t>
      </w:r>
      <w:r w:rsidRPr="00FF6C49">
        <w:rPr>
          <w:rFonts w:cs="Arial"/>
          <w:szCs w:val="24"/>
        </w:rPr>
        <w:t>he period</w:t>
      </w:r>
      <w:r>
        <w:rPr>
          <w:rFonts w:cs="Arial"/>
          <w:szCs w:val="24"/>
        </w:rPr>
        <w:t>,</w:t>
      </w:r>
      <w:r w:rsidRPr="00FF6C49">
        <w:rPr>
          <w:rFonts w:cs="Arial"/>
          <w:szCs w:val="24"/>
        </w:rPr>
        <w:t xml:space="preserve"> the</w:t>
      </w:r>
      <w:r>
        <w:rPr>
          <w:rFonts w:cs="Arial"/>
          <w:szCs w:val="24"/>
        </w:rPr>
        <w:t xml:space="preserve"> Monetary Policy Committee (MPC) of the Bank of England raised the base rate for the first time in a decade. </w:t>
      </w:r>
      <w:r w:rsidRPr="00FF6C49">
        <w:rPr>
          <w:rFonts w:cs="Arial"/>
          <w:szCs w:val="24"/>
        </w:rPr>
        <w:t xml:space="preserve">At its meeting on 1 </w:t>
      </w:r>
      <w:r w:rsidRPr="00FF6C49">
        <w:rPr>
          <w:rFonts w:cs="Arial"/>
          <w:szCs w:val="24"/>
        </w:rPr>
        <w:t>November 2017, the MPC voted by a majority of 7-2 to increase</w:t>
      </w:r>
      <w:r>
        <w:rPr>
          <w:rFonts w:cs="Arial"/>
          <w:szCs w:val="24"/>
        </w:rPr>
        <w:t xml:space="preserve"> the</w:t>
      </w:r>
      <w:r w:rsidRPr="00FF6C49">
        <w:rPr>
          <w:rFonts w:cs="Arial"/>
          <w:szCs w:val="24"/>
        </w:rPr>
        <w:t xml:space="preserve"> Bank Rate by 0.25 percentage points, to 0.5%</w:t>
      </w:r>
      <w:r>
        <w:rPr>
          <w:rFonts w:cs="Arial"/>
          <w:szCs w:val="24"/>
        </w:rPr>
        <w:t xml:space="preserve">. Reasons cited for the increase were concern over inflation and the reduction of slack in the economy. </w:t>
      </w:r>
      <w:r w:rsidRPr="00420CF4">
        <w:rPr>
          <w:rFonts w:cs="Arial"/>
          <w:szCs w:val="24"/>
        </w:rPr>
        <w:t>The MPC</w:t>
      </w:r>
      <w:r>
        <w:rPr>
          <w:rFonts w:cs="Arial"/>
          <w:szCs w:val="24"/>
        </w:rPr>
        <w:t xml:space="preserve"> has been set an inflation target b</w:t>
      </w:r>
      <w:r>
        <w:rPr>
          <w:rFonts w:cs="Arial"/>
          <w:szCs w:val="24"/>
        </w:rPr>
        <w:t xml:space="preserve">y the Government of </w:t>
      </w:r>
      <w:r w:rsidRPr="00420CF4">
        <w:rPr>
          <w:rFonts w:cs="Arial"/>
          <w:szCs w:val="24"/>
        </w:rPr>
        <w:t>2%</w:t>
      </w:r>
      <w:r>
        <w:rPr>
          <w:rFonts w:cs="Arial"/>
          <w:szCs w:val="24"/>
        </w:rPr>
        <w:t>.</w:t>
      </w:r>
      <w:r w:rsidRPr="00420CF4">
        <w:rPr>
          <w:rFonts w:cs="Arial"/>
          <w:szCs w:val="24"/>
        </w:rPr>
        <w:t xml:space="preserve"> </w:t>
      </w:r>
      <w:r>
        <w:rPr>
          <w:rFonts w:cs="Arial"/>
          <w:szCs w:val="24"/>
        </w:rPr>
        <w:t>However, in September 2017 the CPI inflation increased to 3% and rose again to</w:t>
      </w:r>
      <w:r w:rsidRPr="00D24AA3">
        <w:rPr>
          <w:rFonts w:cs="Arial"/>
          <w:szCs w:val="24"/>
        </w:rPr>
        <w:t xml:space="preserve"> 3.1% in November.  </w:t>
      </w:r>
      <w:r>
        <w:rPr>
          <w:rFonts w:cs="Arial"/>
          <w:szCs w:val="24"/>
        </w:rPr>
        <w:t xml:space="preserve">It is considered that </w:t>
      </w:r>
      <w:r w:rsidRPr="00D24AA3">
        <w:rPr>
          <w:rFonts w:cs="Arial"/>
          <w:szCs w:val="24"/>
        </w:rPr>
        <w:t xml:space="preserve">inflation has been pushed above the target by the </w:t>
      </w:r>
      <w:r>
        <w:rPr>
          <w:rFonts w:cs="Arial"/>
          <w:szCs w:val="24"/>
        </w:rPr>
        <w:t>increase in</w:t>
      </w:r>
      <w:r w:rsidRPr="00D24AA3">
        <w:rPr>
          <w:rFonts w:cs="Arial"/>
          <w:szCs w:val="24"/>
        </w:rPr>
        <w:t xml:space="preserve"> import prices that resulted from the depreciation </w:t>
      </w:r>
      <w:r w:rsidRPr="00D24AA3">
        <w:rPr>
          <w:rFonts w:cs="Arial"/>
          <w:szCs w:val="24"/>
        </w:rPr>
        <w:t xml:space="preserve">of sterling.  The MPC </w:t>
      </w:r>
      <w:r>
        <w:rPr>
          <w:rFonts w:cs="Arial"/>
          <w:szCs w:val="24"/>
        </w:rPr>
        <w:t xml:space="preserve">has stated that it </w:t>
      </w:r>
      <w:r w:rsidRPr="00D24AA3">
        <w:rPr>
          <w:rFonts w:cs="Arial"/>
          <w:szCs w:val="24"/>
        </w:rPr>
        <w:t>judges that inflation is likely to be close to its peak, and will decline towards the 2% target in the medium term</w:t>
      </w:r>
      <w:r>
        <w:rPr>
          <w:rFonts w:cs="Arial"/>
          <w:szCs w:val="24"/>
        </w:rPr>
        <w:t>.</w:t>
      </w:r>
    </w:p>
    <w:p w:rsidR="008F0AA1" w:rsidRPr="006714E7" w:rsidRDefault="00943C19" w:rsidP="008F0AA1">
      <w:pPr>
        <w:pStyle w:val="Heading2"/>
        <w:jc w:val="both"/>
        <w:rPr>
          <w:rFonts w:ascii="Arial" w:hAnsi="Arial" w:cs="Arial"/>
          <w:color w:val="auto"/>
          <w:sz w:val="24"/>
          <w:szCs w:val="24"/>
        </w:rPr>
      </w:pPr>
      <w:r w:rsidRPr="006714E7">
        <w:rPr>
          <w:rFonts w:ascii="Arial" w:hAnsi="Arial" w:cs="Arial"/>
          <w:color w:val="auto"/>
          <w:sz w:val="24"/>
          <w:szCs w:val="24"/>
        </w:rPr>
        <w:t>Interest Rate Environment</w:t>
      </w:r>
    </w:p>
    <w:p w:rsidR="008F0AA1" w:rsidRPr="006714E7" w:rsidRDefault="00943C19" w:rsidP="008F0AA1">
      <w:pPr>
        <w:jc w:val="both"/>
        <w:rPr>
          <w:rFonts w:cs="Arial"/>
          <w:b/>
          <w:szCs w:val="24"/>
        </w:rPr>
      </w:pPr>
      <w:r w:rsidRPr="006714E7">
        <w:rPr>
          <w:rFonts w:cs="Arial"/>
          <w:szCs w:val="24"/>
        </w:rPr>
        <w:t>Despite the increase in the base rate the short term interest rates conti</w:t>
      </w:r>
      <w:r w:rsidRPr="006714E7">
        <w:rPr>
          <w:rFonts w:cs="Arial"/>
          <w:szCs w:val="24"/>
        </w:rPr>
        <w:t xml:space="preserve">nue to be at historically very low levels. It was not anticipated that the increase in November was the start of a period of large increases. All indications </w:t>
      </w:r>
      <w:r>
        <w:rPr>
          <w:rFonts w:cs="Arial"/>
          <w:szCs w:val="24"/>
        </w:rPr>
        <w:t>were</w:t>
      </w:r>
      <w:r w:rsidRPr="006714E7">
        <w:rPr>
          <w:rFonts w:cs="Arial"/>
          <w:szCs w:val="24"/>
        </w:rPr>
        <w:t xml:space="preserve"> that any future increase will be at a very gradual pace</w:t>
      </w:r>
      <w:r>
        <w:rPr>
          <w:rFonts w:cs="Arial"/>
          <w:szCs w:val="24"/>
        </w:rPr>
        <w:t>. Indeed,</w:t>
      </w:r>
      <w:r w:rsidRPr="006714E7">
        <w:rPr>
          <w:rFonts w:cs="Arial"/>
          <w:szCs w:val="24"/>
        </w:rPr>
        <w:t xml:space="preserve"> the</w:t>
      </w:r>
      <w:r>
        <w:rPr>
          <w:rFonts w:cs="Arial"/>
          <w:szCs w:val="24"/>
        </w:rPr>
        <w:t xml:space="preserve"> county council's</w:t>
      </w:r>
      <w:r w:rsidRPr="006714E7">
        <w:rPr>
          <w:rFonts w:cs="Arial"/>
          <w:szCs w:val="24"/>
        </w:rPr>
        <w:t xml:space="preserve"> </w:t>
      </w:r>
      <w:r>
        <w:rPr>
          <w:rFonts w:cs="Arial"/>
          <w:szCs w:val="24"/>
        </w:rPr>
        <w:t>t</w:t>
      </w:r>
      <w:r w:rsidRPr="006714E7">
        <w:rPr>
          <w:rFonts w:cs="Arial"/>
          <w:szCs w:val="24"/>
        </w:rPr>
        <w:t>reasur</w:t>
      </w:r>
      <w:r w:rsidRPr="006714E7">
        <w:rPr>
          <w:rFonts w:cs="Arial"/>
          <w:szCs w:val="24"/>
        </w:rPr>
        <w:t>y advis</w:t>
      </w:r>
      <w:r>
        <w:rPr>
          <w:rFonts w:cs="Arial"/>
          <w:szCs w:val="24"/>
        </w:rPr>
        <w:t>o</w:t>
      </w:r>
      <w:r w:rsidRPr="006714E7">
        <w:rPr>
          <w:rFonts w:cs="Arial"/>
          <w:szCs w:val="24"/>
        </w:rPr>
        <w:t>rs predict no further changes in the base rate for this financial year due to the uncertainty for the UK economy arising from the Brexit negotiations and the fall in real wages.</w:t>
      </w:r>
      <w:r w:rsidRPr="006714E7">
        <w:rPr>
          <w:rFonts w:cs="Arial"/>
          <w:b/>
          <w:szCs w:val="24"/>
        </w:rPr>
        <w:t xml:space="preserve"> </w:t>
      </w:r>
    </w:p>
    <w:p w:rsidR="008F0AA1" w:rsidRPr="006714E7" w:rsidRDefault="00943C19" w:rsidP="008F0AA1">
      <w:pPr>
        <w:jc w:val="both"/>
        <w:rPr>
          <w:rFonts w:cs="Arial"/>
          <w:szCs w:val="24"/>
        </w:rPr>
      </w:pPr>
    </w:p>
    <w:p w:rsidR="008F0AA1" w:rsidRPr="006714E7" w:rsidRDefault="00943C19" w:rsidP="008F0AA1">
      <w:pPr>
        <w:jc w:val="both"/>
        <w:rPr>
          <w:rFonts w:cs="Arial"/>
          <w:b/>
          <w:szCs w:val="24"/>
        </w:rPr>
      </w:pPr>
      <w:r w:rsidRPr="006714E7">
        <w:rPr>
          <w:rFonts w:cs="Arial"/>
          <w:b/>
          <w:szCs w:val="24"/>
        </w:rPr>
        <w:t xml:space="preserve">Implications for </w:t>
      </w:r>
      <w:r>
        <w:rPr>
          <w:rFonts w:cs="Arial"/>
          <w:b/>
          <w:szCs w:val="24"/>
        </w:rPr>
        <w:t>the</w:t>
      </w:r>
      <w:r w:rsidRPr="006714E7">
        <w:rPr>
          <w:rFonts w:cs="Arial"/>
          <w:b/>
          <w:szCs w:val="24"/>
        </w:rPr>
        <w:t xml:space="preserve"> </w:t>
      </w:r>
      <w:r>
        <w:rPr>
          <w:rFonts w:cs="Arial"/>
          <w:b/>
          <w:szCs w:val="24"/>
        </w:rPr>
        <w:t>c</w:t>
      </w:r>
      <w:r w:rsidRPr="006714E7">
        <w:rPr>
          <w:rFonts w:cs="Arial"/>
          <w:b/>
          <w:szCs w:val="24"/>
        </w:rPr>
        <w:t>ouncil</w:t>
      </w:r>
      <w:r>
        <w:rPr>
          <w:rFonts w:cs="Arial"/>
          <w:b/>
          <w:szCs w:val="24"/>
        </w:rPr>
        <w:t>'s</w:t>
      </w:r>
      <w:r w:rsidRPr="006714E7">
        <w:rPr>
          <w:rFonts w:cs="Arial"/>
          <w:b/>
          <w:szCs w:val="24"/>
        </w:rPr>
        <w:t xml:space="preserve"> </w:t>
      </w:r>
      <w:r>
        <w:rPr>
          <w:rFonts w:cs="Arial"/>
          <w:b/>
          <w:szCs w:val="24"/>
        </w:rPr>
        <w:t>t</w:t>
      </w:r>
      <w:r w:rsidRPr="006714E7">
        <w:rPr>
          <w:rFonts w:cs="Arial"/>
          <w:b/>
          <w:szCs w:val="24"/>
        </w:rPr>
        <w:t xml:space="preserve">reasury </w:t>
      </w:r>
      <w:r>
        <w:rPr>
          <w:rFonts w:cs="Arial"/>
          <w:b/>
          <w:szCs w:val="24"/>
        </w:rPr>
        <w:t>s</w:t>
      </w:r>
      <w:r w:rsidRPr="006714E7">
        <w:rPr>
          <w:rFonts w:cs="Arial"/>
          <w:b/>
          <w:szCs w:val="24"/>
        </w:rPr>
        <w:t>trategy</w:t>
      </w:r>
    </w:p>
    <w:p w:rsidR="008F0AA1" w:rsidRPr="005C70AD" w:rsidRDefault="00943C19" w:rsidP="008F0AA1">
      <w:pPr>
        <w:pStyle w:val="ListParagraph"/>
        <w:spacing w:after="0" w:line="240" w:lineRule="auto"/>
        <w:ind w:left="0"/>
        <w:jc w:val="both"/>
        <w:rPr>
          <w:rFonts w:cs="Arial"/>
          <w:szCs w:val="24"/>
        </w:rPr>
      </w:pPr>
      <w:r w:rsidRPr="006714E7">
        <w:rPr>
          <w:rFonts w:cs="Arial"/>
          <w:szCs w:val="24"/>
        </w:rPr>
        <w:t xml:space="preserve">Since 2010 the </w:t>
      </w:r>
      <w:r>
        <w:rPr>
          <w:rFonts w:cs="Arial"/>
          <w:szCs w:val="24"/>
        </w:rPr>
        <w:t>c</w:t>
      </w:r>
      <w:r w:rsidRPr="006714E7">
        <w:rPr>
          <w:rFonts w:cs="Arial"/>
          <w:szCs w:val="24"/>
        </w:rPr>
        <w:t>ouncil ha</w:t>
      </w:r>
      <w:r>
        <w:rPr>
          <w:rFonts w:cs="Arial"/>
          <w:szCs w:val="24"/>
        </w:rPr>
        <w:t>s</w:t>
      </w:r>
      <w:r w:rsidRPr="006714E7">
        <w:rPr>
          <w:rFonts w:cs="Arial"/>
          <w:szCs w:val="24"/>
        </w:rPr>
        <w:t xml:space="preserve"> used short term market borrowing to fund capital expenditure so taking advantage of historically low interest rates. This policy has proved to be very effective in an environment where rates have stayed low for much longer than expected and cont</w:t>
      </w:r>
      <w:r w:rsidRPr="006714E7">
        <w:rPr>
          <w:rFonts w:cs="Arial"/>
          <w:szCs w:val="24"/>
        </w:rPr>
        <w:t>inue to do so</w:t>
      </w:r>
      <w:r>
        <w:rPr>
          <w:rFonts w:cs="Arial"/>
          <w:szCs w:val="24"/>
        </w:rPr>
        <w:t>. To date this has been</w:t>
      </w:r>
      <w:r w:rsidRPr="006714E7">
        <w:rPr>
          <w:rFonts w:cs="Arial"/>
          <w:szCs w:val="24"/>
        </w:rPr>
        <w:t xml:space="preserve"> continued in th</w:t>
      </w:r>
      <w:r>
        <w:rPr>
          <w:rFonts w:cs="Arial"/>
          <w:szCs w:val="24"/>
        </w:rPr>
        <w:t>e current</w:t>
      </w:r>
      <w:r w:rsidRPr="006714E7">
        <w:rPr>
          <w:rFonts w:cs="Arial"/>
          <w:szCs w:val="24"/>
        </w:rPr>
        <w:t xml:space="preserve"> financial year. However, prospects for interest rate increases are continuously monitored</w:t>
      </w:r>
      <w:r>
        <w:rPr>
          <w:rFonts w:cs="Arial"/>
          <w:szCs w:val="24"/>
        </w:rPr>
        <w:t>, a</w:t>
      </w:r>
      <w:r w:rsidRPr="006714E7">
        <w:rPr>
          <w:rFonts w:cs="Arial"/>
          <w:szCs w:val="24"/>
        </w:rPr>
        <w:t>lthough it is not anticipated that</w:t>
      </w:r>
      <w:r>
        <w:rPr>
          <w:rFonts w:cs="Arial"/>
          <w:szCs w:val="24"/>
        </w:rPr>
        <w:t xml:space="preserve"> </w:t>
      </w:r>
      <w:r w:rsidRPr="006714E7">
        <w:rPr>
          <w:rFonts w:cs="Arial"/>
          <w:szCs w:val="24"/>
        </w:rPr>
        <w:t>interest rates will rise</w:t>
      </w:r>
      <w:r>
        <w:rPr>
          <w:rFonts w:cs="Arial"/>
          <w:szCs w:val="24"/>
        </w:rPr>
        <w:t xml:space="preserve"> quickly</w:t>
      </w:r>
      <w:r w:rsidRPr="006714E7">
        <w:rPr>
          <w:rFonts w:cs="Arial"/>
          <w:szCs w:val="24"/>
        </w:rPr>
        <w:t xml:space="preserve">. The </w:t>
      </w:r>
      <w:r>
        <w:rPr>
          <w:rFonts w:cs="Arial"/>
          <w:szCs w:val="24"/>
        </w:rPr>
        <w:t>option</w:t>
      </w:r>
      <w:r w:rsidRPr="006714E7">
        <w:rPr>
          <w:rFonts w:cs="Arial"/>
          <w:szCs w:val="24"/>
        </w:rPr>
        <w:t xml:space="preserve"> of fixing some of the </w:t>
      </w:r>
      <w:r w:rsidRPr="006714E7">
        <w:rPr>
          <w:rFonts w:cs="Arial"/>
          <w:szCs w:val="24"/>
        </w:rPr>
        <w:t xml:space="preserve">debt for a longer period </w:t>
      </w:r>
      <w:r>
        <w:rPr>
          <w:rFonts w:cs="Arial"/>
          <w:szCs w:val="24"/>
        </w:rPr>
        <w:t xml:space="preserve">to mitigate against future interest rate increases </w:t>
      </w:r>
      <w:r w:rsidRPr="006714E7">
        <w:rPr>
          <w:rFonts w:cs="Arial"/>
          <w:szCs w:val="24"/>
        </w:rPr>
        <w:t xml:space="preserve">will be kept under </w:t>
      </w:r>
      <w:r>
        <w:rPr>
          <w:rFonts w:cs="Arial"/>
          <w:szCs w:val="24"/>
        </w:rPr>
        <w:t xml:space="preserve">close </w:t>
      </w:r>
      <w:r w:rsidRPr="006714E7">
        <w:rPr>
          <w:rFonts w:cs="Arial"/>
          <w:szCs w:val="24"/>
        </w:rPr>
        <w:t>consideration.</w:t>
      </w:r>
      <w:r w:rsidRPr="005C70AD">
        <w:rPr>
          <w:rFonts w:cs="Arial"/>
          <w:szCs w:val="24"/>
        </w:rPr>
        <w:t xml:space="preserve">  </w:t>
      </w:r>
    </w:p>
    <w:p w:rsidR="008F0AA1" w:rsidRPr="00763986" w:rsidRDefault="00943C19" w:rsidP="008F0AA1">
      <w:pPr>
        <w:jc w:val="both"/>
        <w:rPr>
          <w:rFonts w:cs="Arial"/>
          <w:szCs w:val="24"/>
          <w:highlight w:val="green"/>
        </w:rPr>
      </w:pPr>
    </w:p>
    <w:p w:rsidR="008F0AA1" w:rsidRPr="00763986" w:rsidRDefault="00943C19" w:rsidP="008F0AA1">
      <w:pPr>
        <w:pStyle w:val="ListParagraph"/>
        <w:ind w:left="0"/>
        <w:jc w:val="both"/>
        <w:rPr>
          <w:rFonts w:cs="Arial"/>
          <w:b/>
          <w:szCs w:val="24"/>
        </w:rPr>
      </w:pPr>
      <w:r w:rsidRPr="00763986">
        <w:rPr>
          <w:rFonts w:cs="Arial"/>
          <w:b/>
          <w:szCs w:val="24"/>
        </w:rPr>
        <w:t>Current Treasury Management Policy</w:t>
      </w:r>
    </w:p>
    <w:p w:rsidR="008F0AA1" w:rsidRPr="00763986" w:rsidRDefault="00943C19" w:rsidP="008F0AA1">
      <w:pPr>
        <w:pStyle w:val="ListParagraph"/>
        <w:ind w:left="0"/>
        <w:jc w:val="both"/>
      </w:pPr>
      <w:r w:rsidRPr="00763986">
        <w:t>Full Council approved the 2017/18 treasury management strategy at its meeting on 23rd</w:t>
      </w:r>
      <w:r w:rsidRPr="00763986">
        <w:rPr>
          <w:b/>
          <w:i/>
          <w:color w:val="FF0000"/>
        </w:rPr>
        <w:t xml:space="preserve"> </w:t>
      </w:r>
      <w:r w:rsidRPr="00763986">
        <w:t xml:space="preserve">February 2017.  </w:t>
      </w:r>
      <w:r w:rsidRPr="00763986">
        <w:t xml:space="preserve">The </w:t>
      </w:r>
      <w:r>
        <w:t>c</w:t>
      </w:r>
      <w:r w:rsidRPr="00763986">
        <w:t>ouncil’s stated Treasury Management objectives are:</w:t>
      </w:r>
    </w:p>
    <w:p w:rsidR="008F0AA1" w:rsidRPr="00763986" w:rsidRDefault="00943C19" w:rsidP="008F0AA1">
      <w:pPr>
        <w:ind w:left="426" w:hanging="426"/>
        <w:jc w:val="both"/>
        <w:rPr>
          <w:rFonts w:cs="Arial"/>
          <w:szCs w:val="24"/>
          <w:lang w:eastAsia="en-US"/>
        </w:rPr>
      </w:pPr>
      <w:r w:rsidRPr="00763986">
        <w:rPr>
          <w:rFonts w:cs="Arial"/>
          <w:szCs w:val="24"/>
          <w:lang w:eastAsia="en-US"/>
        </w:rPr>
        <w:t>a)</w:t>
      </w:r>
      <w:r w:rsidRPr="00763986">
        <w:rPr>
          <w:rFonts w:cs="Arial"/>
          <w:szCs w:val="24"/>
          <w:lang w:eastAsia="en-US"/>
        </w:rPr>
        <w:tab/>
        <w:t xml:space="preserve">To ensure the security of the principal sums invested which represent the </w:t>
      </w:r>
      <w:r>
        <w:rPr>
          <w:rFonts w:cs="Arial"/>
          <w:szCs w:val="24"/>
          <w:lang w:eastAsia="en-US"/>
        </w:rPr>
        <w:t>c</w:t>
      </w:r>
      <w:r w:rsidRPr="00763986">
        <w:rPr>
          <w:rFonts w:cs="Arial"/>
          <w:szCs w:val="24"/>
          <w:lang w:eastAsia="en-US"/>
        </w:rPr>
        <w:t xml:space="preserve">ounty </w:t>
      </w:r>
      <w:r>
        <w:rPr>
          <w:rFonts w:cs="Arial"/>
          <w:szCs w:val="24"/>
          <w:lang w:eastAsia="en-US"/>
        </w:rPr>
        <w:t>c</w:t>
      </w:r>
      <w:r w:rsidRPr="00763986">
        <w:rPr>
          <w:rFonts w:cs="Arial"/>
          <w:szCs w:val="24"/>
          <w:lang w:eastAsia="en-US"/>
        </w:rPr>
        <w:t>ouncil's various reserves and balances</w:t>
      </w:r>
      <w:r>
        <w:rPr>
          <w:rFonts w:cs="Arial"/>
          <w:szCs w:val="24"/>
          <w:lang w:eastAsia="en-US"/>
        </w:rPr>
        <w:t>.</w:t>
      </w:r>
    </w:p>
    <w:p w:rsidR="008F0AA1" w:rsidRPr="00763986" w:rsidRDefault="00943C19" w:rsidP="008F0AA1">
      <w:pPr>
        <w:ind w:left="426" w:hanging="426"/>
        <w:jc w:val="both"/>
        <w:rPr>
          <w:rFonts w:cs="Arial"/>
          <w:szCs w:val="24"/>
          <w:lang w:eastAsia="en-US"/>
        </w:rPr>
      </w:pPr>
      <w:r w:rsidRPr="00763986">
        <w:rPr>
          <w:rFonts w:cs="Arial"/>
          <w:szCs w:val="24"/>
          <w:lang w:eastAsia="en-US"/>
        </w:rPr>
        <w:lastRenderedPageBreak/>
        <w:t>b)</w:t>
      </w:r>
      <w:r w:rsidRPr="00763986">
        <w:rPr>
          <w:rFonts w:cs="Arial"/>
          <w:szCs w:val="24"/>
          <w:lang w:eastAsia="en-US"/>
        </w:rPr>
        <w:tab/>
        <w:t xml:space="preserve">To ensure that the </w:t>
      </w:r>
      <w:r>
        <w:rPr>
          <w:rFonts w:cs="Arial"/>
          <w:szCs w:val="24"/>
          <w:lang w:eastAsia="en-US"/>
        </w:rPr>
        <w:t>c</w:t>
      </w:r>
      <w:r w:rsidRPr="00763986">
        <w:rPr>
          <w:rFonts w:cs="Arial"/>
          <w:szCs w:val="24"/>
          <w:lang w:eastAsia="en-US"/>
        </w:rPr>
        <w:t xml:space="preserve">ounty </w:t>
      </w:r>
      <w:r>
        <w:rPr>
          <w:rFonts w:cs="Arial"/>
          <w:szCs w:val="24"/>
          <w:lang w:eastAsia="en-US"/>
        </w:rPr>
        <w:t>c</w:t>
      </w:r>
      <w:r w:rsidRPr="00763986">
        <w:rPr>
          <w:rFonts w:cs="Arial"/>
          <w:szCs w:val="24"/>
          <w:lang w:eastAsia="en-US"/>
        </w:rPr>
        <w:t xml:space="preserve">ouncil has access to cash resources as and </w:t>
      </w:r>
      <w:r w:rsidRPr="00763986">
        <w:rPr>
          <w:rFonts w:cs="Arial"/>
          <w:szCs w:val="24"/>
          <w:lang w:eastAsia="en-US"/>
        </w:rPr>
        <w:t>when required</w:t>
      </w:r>
      <w:r>
        <w:rPr>
          <w:rFonts w:cs="Arial"/>
          <w:szCs w:val="24"/>
          <w:lang w:eastAsia="en-US"/>
        </w:rPr>
        <w:t>.</w:t>
      </w:r>
    </w:p>
    <w:p w:rsidR="008F0AA1" w:rsidRPr="00763986" w:rsidRDefault="00943C19" w:rsidP="008F0AA1">
      <w:pPr>
        <w:ind w:left="426" w:hanging="426"/>
        <w:jc w:val="both"/>
        <w:rPr>
          <w:rFonts w:cs="Arial"/>
          <w:szCs w:val="24"/>
          <w:lang w:eastAsia="en-US"/>
        </w:rPr>
      </w:pPr>
      <w:r w:rsidRPr="00763986">
        <w:rPr>
          <w:rFonts w:cs="Arial"/>
          <w:szCs w:val="24"/>
          <w:lang w:eastAsia="en-US"/>
        </w:rPr>
        <w:t>c)</w:t>
      </w:r>
      <w:r w:rsidRPr="00763986">
        <w:rPr>
          <w:rFonts w:cs="Arial"/>
          <w:szCs w:val="24"/>
          <w:lang w:eastAsia="en-US"/>
        </w:rPr>
        <w:tab/>
        <w:t xml:space="preserve">To minimise the cost of the borrowing required to finance the </w:t>
      </w:r>
      <w:r>
        <w:rPr>
          <w:rFonts w:cs="Arial"/>
          <w:szCs w:val="24"/>
          <w:lang w:eastAsia="en-US"/>
        </w:rPr>
        <w:t>c</w:t>
      </w:r>
      <w:r w:rsidRPr="00763986">
        <w:rPr>
          <w:rFonts w:cs="Arial"/>
          <w:szCs w:val="24"/>
          <w:lang w:eastAsia="en-US"/>
        </w:rPr>
        <w:t xml:space="preserve">ounty </w:t>
      </w:r>
      <w:r>
        <w:rPr>
          <w:rFonts w:cs="Arial"/>
          <w:szCs w:val="24"/>
          <w:lang w:eastAsia="en-US"/>
        </w:rPr>
        <w:t>c</w:t>
      </w:r>
      <w:r w:rsidRPr="00763986">
        <w:rPr>
          <w:rFonts w:cs="Arial"/>
          <w:szCs w:val="24"/>
          <w:lang w:eastAsia="en-US"/>
        </w:rPr>
        <w:t>ouncil's capital investment programme, and</w:t>
      </w:r>
    </w:p>
    <w:p w:rsidR="008F0AA1" w:rsidRPr="00763986" w:rsidRDefault="00943C19" w:rsidP="008F0AA1">
      <w:pPr>
        <w:ind w:left="426" w:hanging="426"/>
        <w:jc w:val="both"/>
        <w:rPr>
          <w:rFonts w:cs="Arial"/>
          <w:szCs w:val="24"/>
        </w:rPr>
      </w:pPr>
      <w:r w:rsidRPr="00763986">
        <w:rPr>
          <w:rFonts w:cs="Arial"/>
          <w:szCs w:val="24"/>
          <w:lang w:eastAsia="en-US"/>
        </w:rPr>
        <w:t>d)</w:t>
      </w:r>
      <w:r w:rsidRPr="00763986">
        <w:rPr>
          <w:rFonts w:cs="Arial"/>
          <w:szCs w:val="24"/>
          <w:lang w:eastAsia="en-US"/>
        </w:rPr>
        <w:tab/>
        <w:t xml:space="preserve">To maximise investment returns commensurate with the </w:t>
      </w:r>
      <w:r>
        <w:rPr>
          <w:rFonts w:cs="Arial"/>
          <w:szCs w:val="24"/>
          <w:lang w:eastAsia="en-US"/>
        </w:rPr>
        <w:t>c</w:t>
      </w:r>
      <w:r w:rsidRPr="00763986">
        <w:rPr>
          <w:rFonts w:cs="Arial"/>
          <w:szCs w:val="24"/>
          <w:lang w:eastAsia="en-US"/>
        </w:rPr>
        <w:t xml:space="preserve">ounty </w:t>
      </w:r>
      <w:r>
        <w:rPr>
          <w:rFonts w:cs="Arial"/>
          <w:szCs w:val="24"/>
          <w:lang w:eastAsia="en-US"/>
        </w:rPr>
        <w:t>c</w:t>
      </w:r>
      <w:r w:rsidRPr="00763986">
        <w:rPr>
          <w:rFonts w:cs="Arial"/>
          <w:szCs w:val="24"/>
          <w:lang w:eastAsia="en-US"/>
        </w:rPr>
        <w:t>ouncil's policy of minimising risks</w:t>
      </w:r>
      <w:r w:rsidRPr="00763986">
        <w:rPr>
          <w:rFonts w:cs="Arial"/>
          <w:szCs w:val="24"/>
          <w:lang w:eastAsia="en-US"/>
        </w:rPr>
        <w:t xml:space="preserve"> to the security of capital and its liquidity position.</w:t>
      </w:r>
    </w:p>
    <w:p w:rsidR="008F0AA1" w:rsidRPr="00763986" w:rsidRDefault="00943C19" w:rsidP="008F0AA1">
      <w:pPr>
        <w:jc w:val="both"/>
        <w:rPr>
          <w:rFonts w:cs="Arial"/>
          <w:b/>
          <w:szCs w:val="24"/>
          <w:highlight w:val="green"/>
        </w:rPr>
      </w:pPr>
    </w:p>
    <w:p w:rsidR="008F0AA1" w:rsidRPr="00396ACD" w:rsidRDefault="00943C19" w:rsidP="008F0AA1">
      <w:pPr>
        <w:pStyle w:val="ListParagraph"/>
        <w:spacing w:after="0"/>
        <w:ind w:left="0"/>
        <w:jc w:val="both"/>
        <w:rPr>
          <w:rFonts w:cs="Arial"/>
          <w:b/>
          <w:szCs w:val="24"/>
        </w:rPr>
      </w:pPr>
      <w:r w:rsidRPr="00396ACD">
        <w:rPr>
          <w:rFonts w:cs="Arial"/>
          <w:b/>
          <w:szCs w:val="24"/>
        </w:rPr>
        <w:t>Investment Activity</w:t>
      </w:r>
    </w:p>
    <w:p w:rsidR="008F0AA1" w:rsidRPr="00763986" w:rsidRDefault="00943C19" w:rsidP="008F0AA1">
      <w:pPr>
        <w:jc w:val="both"/>
        <w:rPr>
          <w:rFonts w:cs="Arial"/>
          <w:szCs w:val="24"/>
        </w:rPr>
      </w:pPr>
      <w:r w:rsidRPr="00396ACD">
        <w:rPr>
          <w:rFonts w:cs="Arial"/>
          <w:szCs w:val="24"/>
        </w:rPr>
        <w:t xml:space="preserve">Investments at </w:t>
      </w:r>
      <w:r>
        <w:rPr>
          <w:rFonts w:cs="Arial"/>
          <w:szCs w:val="24"/>
        </w:rPr>
        <w:t>30 November total £472.1</w:t>
      </w:r>
      <w:r w:rsidRPr="00396ACD">
        <w:rPr>
          <w:rFonts w:cs="Arial"/>
          <w:szCs w:val="24"/>
        </w:rPr>
        <w:t>m consisting of £</w:t>
      </w:r>
      <w:r>
        <w:rPr>
          <w:rFonts w:cs="Arial"/>
          <w:szCs w:val="24"/>
        </w:rPr>
        <w:t>107.8m</w:t>
      </w:r>
      <w:r w:rsidRPr="00396ACD">
        <w:rPr>
          <w:rFonts w:cs="Arial"/>
          <w:szCs w:val="24"/>
        </w:rPr>
        <w:t xml:space="preserve"> in bank and Local A</w:t>
      </w:r>
      <w:r>
        <w:rPr>
          <w:rFonts w:cs="Arial"/>
          <w:szCs w:val="24"/>
        </w:rPr>
        <w:t>uthority deposits and £364.3</w:t>
      </w:r>
      <w:r w:rsidRPr="00396ACD">
        <w:rPr>
          <w:rFonts w:cs="Arial"/>
          <w:szCs w:val="24"/>
        </w:rPr>
        <w:t>m in bonds.</w:t>
      </w:r>
      <w:r>
        <w:rPr>
          <w:rFonts w:cs="Arial"/>
          <w:szCs w:val="24"/>
        </w:rPr>
        <w:t xml:space="preserve"> Overall</w:t>
      </w:r>
      <w:r w:rsidRPr="002D7C9E">
        <w:rPr>
          <w:rFonts w:cs="Arial"/>
          <w:szCs w:val="24"/>
        </w:rPr>
        <w:t xml:space="preserve"> investments have decreased by £</w:t>
      </w:r>
      <w:r>
        <w:rPr>
          <w:rFonts w:cs="Arial"/>
          <w:szCs w:val="24"/>
        </w:rPr>
        <w:t>53.8m in the perio</w:t>
      </w:r>
      <w:r>
        <w:rPr>
          <w:rFonts w:cs="Arial"/>
          <w:szCs w:val="24"/>
        </w:rPr>
        <w:t xml:space="preserve">d </w:t>
      </w:r>
      <w:r w:rsidRPr="00EC4C1A">
        <w:rPr>
          <w:rFonts w:cs="Arial"/>
          <w:szCs w:val="24"/>
        </w:rPr>
        <w:t>reflecting expected movements in reserves and balances and cash flow</w:t>
      </w:r>
      <w:r>
        <w:rPr>
          <w:rFonts w:cs="Arial"/>
          <w:szCs w:val="24"/>
        </w:rPr>
        <w:t xml:space="preserve"> forecasts</w:t>
      </w:r>
      <w:r w:rsidRPr="00396ACD">
        <w:rPr>
          <w:rFonts w:cs="Arial"/>
          <w:szCs w:val="24"/>
        </w:rPr>
        <w:t xml:space="preserve">. The table below shows the investment activity between </w:t>
      </w:r>
      <w:r w:rsidRPr="00763986">
        <w:rPr>
          <w:rFonts w:cs="Arial"/>
          <w:szCs w:val="24"/>
        </w:rPr>
        <w:t>1 A</w:t>
      </w:r>
      <w:r>
        <w:rPr>
          <w:rFonts w:cs="Arial"/>
          <w:szCs w:val="24"/>
        </w:rPr>
        <w:t xml:space="preserve">ugust </w:t>
      </w:r>
      <w:r w:rsidRPr="00763986">
        <w:rPr>
          <w:rFonts w:cs="Arial"/>
          <w:szCs w:val="24"/>
        </w:rPr>
        <w:t xml:space="preserve">2017 and </w:t>
      </w:r>
      <w:r>
        <w:rPr>
          <w:rFonts w:cs="Arial"/>
          <w:szCs w:val="24"/>
        </w:rPr>
        <w:t>30</w:t>
      </w:r>
      <w:r>
        <w:rPr>
          <w:rFonts w:cs="Arial"/>
          <w:szCs w:val="24"/>
          <w:vertAlign w:val="superscript"/>
        </w:rPr>
        <w:t xml:space="preserve"> </w:t>
      </w:r>
      <w:r>
        <w:rPr>
          <w:rFonts w:cs="Arial"/>
          <w:szCs w:val="24"/>
        </w:rPr>
        <w:t>November</w:t>
      </w:r>
      <w:r w:rsidRPr="00763986">
        <w:rPr>
          <w:rFonts w:cs="Arial"/>
          <w:szCs w:val="24"/>
        </w:rPr>
        <w:t xml:space="preserve"> 2017.</w:t>
      </w:r>
    </w:p>
    <w:p w:rsidR="008F0AA1" w:rsidRPr="00396ACD" w:rsidRDefault="00943C19" w:rsidP="008F0AA1">
      <w:pPr>
        <w:pStyle w:val="ListParagraph"/>
        <w:spacing w:after="0" w:line="240" w:lineRule="auto"/>
        <w:ind w:left="0"/>
        <w:jc w:val="both"/>
        <w:rPr>
          <w:rFonts w:cs="Arial"/>
          <w:szCs w:val="24"/>
        </w:rPr>
      </w:pPr>
    </w:p>
    <w:tbl>
      <w:tblPr>
        <w:tblW w:w="9022" w:type="dxa"/>
        <w:tblInd w:w="-5" w:type="dxa"/>
        <w:tblLook w:val="04A0" w:firstRow="1" w:lastRow="0" w:firstColumn="1" w:lastColumn="0" w:noHBand="0" w:noVBand="1"/>
      </w:tblPr>
      <w:tblGrid>
        <w:gridCol w:w="3286"/>
        <w:gridCol w:w="1534"/>
        <w:gridCol w:w="1181"/>
        <w:gridCol w:w="1510"/>
        <w:gridCol w:w="1511"/>
      </w:tblGrid>
      <w:tr w:rsidR="007F00BA" w:rsidTr="008F0AA1">
        <w:trPr>
          <w:trHeight w:val="300"/>
        </w:trPr>
        <w:tc>
          <w:tcPr>
            <w:tcW w:w="3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AA1" w:rsidRPr="00F36E89" w:rsidRDefault="00943C19" w:rsidP="008F0AA1">
            <w:pPr>
              <w:rPr>
                <w:rFonts w:cs="Arial"/>
                <w:color w:val="000000"/>
                <w:szCs w:val="24"/>
              </w:rPr>
            </w:pPr>
            <w:r w:rsidRPr="00F36E89">
              <w:rPr>
                <w:rFonts w:cs="Arial"/>
                <w:color w:val="000000"/>
                <w:szCs w:val="24"/>
              </w:rPr>
              <w:t xml:space="preserve">Bank and Local Authority </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rsidR="008F0AA1" w:rsidRPr="00F36E89" w:rsidRDefault="00943C19" w:rsidP="008F0AA1">
            <w:pPr>
              <w:jc w:val="center"/>
              <w:rPr>
                <w:rFonts w:cs="Arial"/>
                <w:color w:val="000000"/>
                <w:szCs w:val="24"/>
              </w:rPr>
            </w:pPr>
            <w:r w:rsidRPr="00F36E89">
              <w:rPr>
                <w:rFonts w:cs="Arial"/>
                <w:color w:val="000000"/>
                <w:szCs w:val="24"/>
              </w:rPr>
              <w:t>Call/MMF</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8F0AA1" w:rsidRPr="00F36E89" w:rsidRDefault="00943C19" w:rsidP="008F0AA1">
            <w:pPr>
              <w:jc w:val="center"/>
              <w:rPr>
                <w:rFonts w:cs="Arial"/>
                <w:color w:val="000000"/>
                <w:szCs w:val="24"/>
              </w:rPr>
            </w:pPr>
            <w:r w:rsidRPr="00F36E89">
              <w:rPr>
                <w:rFonts w:cs="Arial"/>
                <w:color w:val="000000"/>
                <w:szCs w:val="24"/>
              </w:rPr>
              <w:t>Fixed</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rsidR="008F0AA1" w:rsidRPr="00F36E89" w:rsidRDefault="00943C19" w:rsidP="008F0AA1">
            <w:pPr>
              <w:jc w:val="center"/>
              <w:rPr>
                <w:rFonts w:cs="Arial"/>
                <w:color w:val="000000"/>
                <w:szCs w:val="24"/>
              </w:rPr>
            </w:pPr>
            <w:r w:rsidRPr="00F36E89">
              <w:rPr>
                <w:rFonts w:cs="Arial"/>
                <w:color w:val="000000"/>
                <w:szCs w:val="24"/>
              </w:rPr>
              <w:t>Structured</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rsidR="008F0AA1" w:rsidRPr="00F36E89" w:rsidRDefault="00943C19" w:rsidP="008F0AA1">
            <w:pPr>
              <w:jc w:val="center"/>
              <w:rPr>
                <w:rFonts w:cs="Arial"/>
                <w:color w:val="000000"/>
                <w:szCs w:val="24"/>
              </w:rPr>
            </w:pPr>
            <w:r w:rsidRPr="00F36E89">
              <w:rPr>
                <w:rFonts w:cs="Arial"/>
                <w:color w:val="000000"/>
                <w:szCs w:val="24"/>
              </w:rPr>
              <w:t>Total</w:t>
            </w:r>
          </w:p>
        </w:tc>
      </w:tr>
      <w:tr w:rsidR="007F00BA" w:rsidTr="008F0AA1">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8F0AA1" w:rsidRPr="00F36E89" w:rsidRDefault="00943C19" w:rsidP="008F0AA1">
            <w:pPr>
              <w:rPr>
                <w:rFonts w:cs="Arial"/>
                <w:color w:val="000000"/>
                <w:szCs w:val="24"/>
              </w:rPr>
            </w:pPr>
            <w:r w:rsidRPr="00F36E89">
              <w:rPr>
                <w:rFonts w:cs="Arial"/>
                <w:color w:val="000000"/>
                <w:szCs w:val="24"/>
              </w:rPr>
              <w:t>Deposits</w:t>
            </w:r>
          </w:p>
        </w:tc>
        <w:tc>
          <w:tcPr>
            <w:tcW w:w="1534"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rPr>
                <w:rFonts w:cs="Arial"/>
                <w:color w:val="000000"/>
                <w:szCs w:val="24"/>
              </w:rPr>
            </w:pPr>
            <w:r w:rsidRPr="00F36E89">
              <w:rPr>
                <w:rFonts w:cs="Arial"/>
                <w:color w:val="000000"/>
                <w:szCs w:val="24"/>
              </w:rPr>
              <w:t>£m</w:t>
            </w:r>
          </w:p>
        </w:tc>
        <w:tc>
          <w:tcPr>
            <w:tcW w:w="1181"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rPr>
                <w:rFonts w:cs="Arial"/>
                <w:color w:val="000000"/>
                <w:szCs w:val="24"/>
              </w:rPr>
            </w:pPr>
            <w:r w:rsidRPr="00F36E89">
              <w:rPr>
                <w:rFonts w:cs="Arial"/>
                <w:color w:val="000000"/>
                <w:szCs w:val="24"/>
              </w:rPr>
              <w:t>£m</w:t>
            </w:r>
          </w:p>
        </w:tc>
        <w:tc>
          <w:tcPr>
            <w:tcW w:w="1510"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rPr>
                <w:rFonts w:cs="Arial"/>
                <w:color w:val="000000"/>
                <w:szCs w:val="24"/>
              </w:rPr>
            </w:pPr>
            <w:r w:rsidRPr="00F36E89">
              <w:rPr>
                <w:rFonts w:cs="Arial"/>
                <w:color w:val="000000"/>
                <w:szCs w:val="24"/>
              </w:rPr>
              <w:t>£m</w:t>
            </w:r>
          </w:p>
        </w:tc>
        <w:tc>
          <w:tcPr>
            <w:tcW w:w="1511"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rPr>
                <w:rFonts w:cs="Arial"/>
                <w:color w:val="000000"/>
                <w:szCs w:val="24"/>
              </w:rPr>
            </w:pPr>
            <w:r w:rsidRPr="00F36E89">
              <w:rPr>
                <w:rFonts w:cs="Arial"/>
                <w:color w:val="000000"/>
                <w:szCs w:val="24"/>
              </w:rPr>
              <w:t>£m</w:t>
            </w:r>
          </w:p>
        </w:tc>
      </w:tr>
      <w:tr w:rsidR="007F00BA" w:rsidTr="008F0AA1">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8F0AA1" w:rsidRPr="00F36E89" w:rsidRDefault="00943C19" w:rsidP="008F0AA1">
            <w:pPr>
              <w:rPr>
                <w:rFonts w:cs="Arial"/>
                <w:color w:val="000000"/>
                <w:szCs w:val="24"/>
              </w:rPr>
            </w:pPr>
            <w:r w:rsidRPr="00F36E89">
              <w:rPr>
                <w:rFonts w:cs="Arial"/>
                <w:color w:val="000000"/>
                <w:szCs w:val="24"/>
              </w:rPr>
              <w:t>Balance 1 August 2017</w:t>
            </w:r>
          </w:p>
        </w:tc>
        <w:tc>
          <w:tcPr>
            <w:tcW w:w="1534"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sidRPr="00F36E89">
              <w:rPr>
                <w:rFonts w:cs="Arial"/>
                <w:color w:val="000000"/>
                <w:szCs w:val="24"/>
              </w:rPr>
              <w:t>25</w:t>
            </w:r>
            <w:r>
              <w:rPr>
                <w:rFonts w:cs="Arial"/>
                <w:color w:val="000000"/>
                <w:szCs w:val="24"/>
              </w:rPr>
              <w:t>.000</w:t>
            </w:r>
          </w:p>
        </w:tc>
        <w:tc>
          <w:tcPr>
            <w:tcW w:w="1181"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sidRPr="00F36E89">
              <w:rPr>
                <w:rFonts w:cs="Arial"/>
                <w:color w:val="000000"/>
                <w:szCs w:val="24"/>
              </w:rPr>
              <w:t>194.8</w:t>
            </w:r>
            <w:r>
              <w:rPr>
                <w:rFonts w:cs="Arial"/>
                <w:color w:val="000000"/>
                <w:szCs w:val="24"/>
              </w:rPr>
              <w:t>00</w:t>
            </w:r>
          </w:p>
        </w:tc>
        <w:tc>
          <w:tcPr>
            <w:tcW w:w="1510"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sidRPr="00F36E89">
              <w:rPr>
                <w:rFonts w:cs="Arial"/>
                <w:color w:val="000000"/>
                <w:szCs w:val="24"/>
              </w:rPr>
              <w:t>0</w:t>
            </w:r>
            <w:r>
              <w:rPr>
                <w:rFonts w:cs="Arial"/>
                <w:color w:val="000000"/>
                <w:szCs w:val="24"/>
              </w:rPr>
              <w:t>.000</w:t>
            </w:r>
          </w:p>
        </w:tc>
        <w:tc>
          <w:tcPr>
            <w:tcW w:w="1511"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sidRPr="00F36E89">
              <w:rPr>
                <w:rFonts w:cs="Arial"/>
                <w:color w:val="000000"/>
                <w:szCs w:val="24"/>
              </w:rPr>
              <w:t>219.8</w:t>
            </w:r>
            <w:r>
              <w:rPr>
                <w:rFonts w:cs="Arial"/>
                <w:color w:val="000000"/>
                <w:szCs w:val="24"/>
              </w:rPr>
              <w:t>00</w:t>
            </w:r>
          </w:p>
        </w:tc>
      </w:tr>
      <w:tr w:rsidR="007F00BA" w:rsidTr="008F0AA1">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8F0AA1" w:rsidRPr="00F36E89" w:rsidRDefault="00943C19" w:rsidP="008F0AA1">
            <w:pPr>
              <w:rPr>
                <w:rFonts w:cs="Arial"/>
                <w:color w:val="000000"/>
                <w:szCs w:val="24"/>
              </w:rPr>
            </w:pPr>
            <w:r w:rsidRPr="00F36E89">
              <w:rPr>
                <w:rFonts w:cs="Arial"/>
                <w:color w:val="000000"/>
                <w:szCs w:val="24"/>
              </w:rPr>
              <w:t>Maturities</w:t>
            </w:r>
          </w:p>
        </w:tc>
        <w:tc>
          <w:tcPr>
            <w:tcW w:w="1534"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sidRPr="00F36E89">
              <w:rPr>
                <w:rFonts w:cs="Arial"/>
                <w:color w:val="000000"/>
                <w:szCs w:val="24"/>
              </w:rPr>
              <w:t>-54</w:t>
            </w:r>
            <w:r>
              <w:rPr>
                <w:rFonts w:cs="Arial"/>
                <w:color w:val="000000"/>
                <w:szCs w:val="24"/>
              </w:rPr>
              <w:t>.000</w:t>
            </w:r>
          </w:p>
        </w:tc>
        <w:tc>
          <w:tcPr>
            <w:tcW w:w="1181"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sidRPr="00F36E89">
              <w:rPr>
                <w:rFonts w:cs="Arial"/>
                <w:color w:val="000000"/>
                <w:szCs w:val="24"/>
              </w:rPr>
              <w:t>-130</w:t>
            </w:r>
            <w:r>
              <w:rPr>
                <w:rFonts w:cs="Arial"/>
                <w:color w:val="000000"/>
                <w:szCs w:val="24"/>
              </w:rPr>
              <w:t>.000</w:t>
            </w:r>
          </w:p>
        </w:tc>
        <w:tc>
          <w:tcPr>
            <w:tcW w:w="1510"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Pr>
                <w:rFonts w:cs="Arial"/>
                <w:color w:val="000000"/>
                <w:szCs w:val="24"/>
              </w:rPr>
              <w:t>0.000</w:t>
            </w:r>
          </w:p>
        </w:tc>
        <w:tc>
          <w:tcPr>
            <w:tcW w:w="1511"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sidRPr="00F36E89">
              <w:rPr>
                <w:rFonts w:cs="Arial"/>
                <w:color w:val="000000"/>
                <w:szCs w:val="24"/>
              </w:rPr>
              <w:t>-184</w:t>
            </w:r>
            <w:r>
              <w:rPr>
                <w:rFonts w:cs="Arial"/>
                <w:color w:val="000000"/>
                <w:szCs w:val="24"/>
              </w:rPr>
              <w:t>.000</w:t>
            </w:r>
          </w:p>
        </w:tc>
      </w:tr>
      <w:tr w:rsidR="007F00BA" w:rsidTr="008F0AA1">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8F0AA1" w:rsidRPr="00F36E89" w:rsidRDefault="00943C19" w:rsidP="008F0AA1">
            <w:pPr>
              <w:rPr>
                <w:rFonts w:cs="Arial"/>
                <w:color w:val="000000"/>
                <w:szCs w:val="24"/>
              </w:rPr>
            </w:pPr>
            <w:r w:rsidRPr="00F36E89">
              <w:rPr>
                <w:rFonts w:cs="Arial"/>
                <w:color w:val="000000"/>
                <w:szCs w:val="24"/>
              </w:rPr>
              <w:t>New Investments</w:t>
            </w:r>
          </w:p>
        </w:tc>
        <w:tc>
          <w:tcPr>
            <w:tcW w:w="1534"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sidRPr="00F36E89">
              <w:rPr>
                <w:rFonts w:cs="Arial"/>
                <w:color w:val="000000"/>
                <w:szCs w:val="24"/>
              </w:rPr>
              <w:t>54</w:t>
            </w:r>
            <w:r>
              <w:rPr>
                <w:rFonts w:cs="Arial"/>
                <w:color w:val="000000"/>
                <w:szCs w:val="24"/>
              </w:rPr>
              <w:t>.000</w:t>
            </w:r>
          </w:p>
        </w:tc>
        <w:tc>
          <w:tcPr>
            <w:tcW w:w="1181"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sidRPr="00F36E89">
              <w:rPr>
                <w:rFonts w:cs="Arial"/>
                <w:color w:val="000000"/>
                <w:szCs w:val="24"/>
              </w:rPr>
              <w:t>18</w:t>
            </w:r>
            <w:r>
              <w:rPr>
                <w:rFonts w:cs="Arial"/>
                <w:color w:val="000000"/>
                <w:szCs w:val="24"/>
              </w:rPr>
              <w:t>.000</w:t>
            </w:r>
          </w:p>
        </w:tc>
        <w:tc>
          <w:tcPr>
            <w:tcW w:w="1510"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sidRPr="00F36E89">
              <w:rPr>
                <w:rFonts w:cs="Arial"/>
                <w:color w:val="000000"/>
                <w:szCs w:val="24"/>
              </w:rPr>
              <w:t>0</w:t>
            </w:r>
            <w:r>
              <w:rPr>
                <w:rFonts w:cs="Arial"/>
                <w:color w:val="000000"/>
                <w:szCs w:val="24"/>
              </w:rPr>
              <w:t>.000</w:t>
            </w:r>
          </w:p>
        </w:tc>
        <w:tc>
          <w:tcPr>
            <w:tcW w:w="1511"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sidRPr="00F36E89">
              <w:rPr>
                <w:rFonts w:cs="Arial"/>
                <w:color w:val="000000"/>
                <w:szCs w:val="24"/>
              </w:rPr>
              <w:t>72</w:t>
            </w:r>
            <w:r>
              <w:rPr>
                <w:rFonts w:cs="Arial"/>
                <w:color w:val="000000"/>
                <w:szCs w:val="24"/>
              </w:rPr>
              <w:t>.000</w:t>
            </w:r>
          </w:p>
        </w:tc>
      </w:tr>
      <w:tr w:rsidR="007F00BA" w:rsidTr="008F0AA1">
        <w:trPr>
          <w:trHeight w:val="300"/>
        </w:trPr>
        <w:tc>
          <w:tcPr>
            <w:tcW w:w="328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8F0AA1" w:rsidRPr="00F36E89" w:rsidRDefault="00943C19" w:rsidP="008F0AA1">
            <w:pPr>
              <w:rPr>
                <w:rFonts w:cs="Arial"/>
                <w:color w:val="000000"/>
                <w:szCs w:val="24"/>
              </w:rPr>
            </w:pPr>
            <w:r w:rsidRPr="00F36E89">
              <w:rPr>
                <w:rFonts w:cs="Arial"/>
                <w:color w:val="000000"/>
                <w:szCs w:val="24"/>
              </w:rPr>
              <w:t>Balance 30 November 2017</w:t>
            </w:r>
          </w:p>
        </w:tc>
        <w:tc>
          <w:tcPr>
            <w:tcW w:w="1534" w:type="dxa"/>
            <w:tcBorders>
              <w:top w:val="nil"/>
              <w:left w:val="nil"/>
              <w:bottom w:val="single" w:sz="4" w:space="0" w:color="auto"/>
              <w:right w:val="single" w:sz="4" w:space="0" w:color="auto"/>
            </w:tcBorders>
            <w:shd w:val="clear" w:color="auto" w:fill="DBE5F1" w:themeFill="accent1" w:themeFillTint="33"/>
            <w:noWrap/>
            <w:vAlign w:val="bottom"/>
            <w:hideMark/>
          </w:tcPr>
          <w:p w:rsidR="008F0AA1" w:rsidRPr="00F36E89" w:rsidRDefault="00943C19" w:rsidP="008F0AA1">
            <w:pPr>
              <w:jc w:val="right"/>
              <w:rPr>
                <w:rFonts w:cs="Arial"/>
                <w:color w:val="000000"/>
                <w:szCs w:val="24"/>
              </w:rPr>
            </w:pPr>
            <w:r w:rsidRPr="00F36E89">
              <w:rPr>
                <w:rFonts w:cs="Arial"/>
                <w:color w:val="000000"/>
                <w:szCs w:val="24"/>
              </w:rPr>
              <w:t>25</w:t>
            </w:r>
            <w:r>
              <w:rPr>
                <w:rFonts w:cs="Arial"/>
                <w:color w:val="000000"/>
                <w:szCs w:val="24"/>
              </w:rPr>
              <w:t>.000</w:t>
            </w:r>
          </w:p>
        </w:tc>
        <w:tc>
          <w:tcPr>
            <w:tcW w:w="1181" w:type="dxa"/>
            <w:tcBorders>
              <w:top w:val="nil"/>
              <w:left w:val="nil"/>
              <w:bottom w:val="single" w:sz="4" w:space="0" w:color="auto"/>
              <w:right w:val="single" w:sz="4" w:space="0" w:color="auto"/>
            </w:tcBorders>
            <w:shd w:val="clear" w:color="auto" w:fill="DBE5F1" w:themeFill="accent1" w:themeFillTint="33"/>
            <w:noWrap/>
            <w:vAlign w:val="bottom"/>
            <w:hideMark/>
          </w:tcPr>
          <w:p w:rsidR="008F0AA1" w:rsidRPr="00F36E89" w:rsidRDefault="00943C19" w:rsidP="008F0AA1">
            <w:pPr>
              <w:jc w:val="right"/>
              <w:rPr>
                <w:rFonts w:cs="Arial"/>
                <w:color w:val="000000"/>
                <w:szCs w:val="24"/>
              </w:rPr>
            </w:pPr>
            <w:r w:rsidRPr="00F36E89">
              <w:rPr>
                <w:rFonts w:cs="Arial"/>
                <w:color w:val="000000"/>
                <w:szCs w:val="24"/>
              </w:rPr>
              <w:t>82.8</w:t>
            </w:r>
            <w:r>
              <w:rPr>
                <w:rFonts w:cs="Arial"/>
                <w:color w:val="000000"/>
                <w:szCs w:val="24"/>
              </w:rPr>
              <w:t>00</w:t>
            </w:r>
          </w:p>
        </w:tc>
        <w:tc>
          <w:tcPr>
            <w:tcW w:w="1510" w:type="dxa"/>
            <w:tcBorders>
              <w:top w:val="nil"/>
              <w:left w:val="nil"/>
              <w:bottom w:val="single" w:sz="4" w:space="0" w:color="auto"/>
              <w:right w:val="single" w:sz="4" w:space="0" w:color="auto"/>
            </w:tcBorders>
            <w:shd w:val="clear" w:color="auto" w:fill="DBE5F1" w:themeFill="accent1" w:themeFillTint="33"/>
            <w:noWrap/>
            <w:vAlign w:val="bottom"/>
            <w:hideMark/>
          </w:tcPr>
          <w:p w:rsidR="008F0AA1" w:rsidRPr="00F36E89" w:rsidRDefault="00943C19" w:rsidP="008F0AA1">
            <w:pPr>
              <w:jc w:val="right"/>
              <w:rPr>
                <w:rFonts w:cs="Arial"/>
                <w:color w:val="000000"/>
                <w:szCs w:val="24"/>
              </w:rPr>
            </w:pPr>
            <w:r w:rsidRPr="00F36E89">
              <w:rPr>
                <w:rFonts w:cs="Arial"/>
                <w:color w:val="000000"/>
                <w:szCs w:val="24"/>
              </w:rPr>
              <w:t>0</w:t>
            </w:r>
            <w:r>
              <w:rPr>
                <w:rFonts w:cs="Arial"/>
                <w:color w:val="000000"/>
                <w:szCs w:val="24"/>
              </w:rPr>
              <w:t>.000</w:t>
            </w:r>
          </w:p>
        </w:tc>
        <w:tc>
          <w:tcPr>
            <w:tcW w:w="1511" w:type="dxa"/>
            <w:tcBorders>
              <w:top w:val="nil"/>
              <w:left w:val="nil"/>
              <w:bottom w:val="single" w:sz="4" w:space="0" w:color="auto"/>
              <w:right w:val="single" w:sz="4" w:space="0" w:color="auto"/>
            </w:tcBorders>
            <w:shd w:val="clear" w:color="auto" w:fill="DBE5F1" w:themeFill="accent1" w:themeFillTint="33"/>
            <w:noWrap/>
            <w:vAlign w:val="bottom"/>
            <w:hideMark/>
          </w:tcPr>
          <w:p w:rsidR="008F0AA1" w:rsidRPr="00F36E89" w:rsidRDefault="00943C19" w:rsidP="008F0AA1">
            <w:pPr>
              <w:jc w:val="right"/>
              <w:rPr>
                <w:rFonts w:cs="Arial"/>
                <w:color w:val="000000"/>
                <w:szCs w:val="24"/>
              </w:rPr>
            </w:pPr>
            <w:r w:rsidRPr="00F36E89">
              <w:rPr>
                <w:rFonts w:cs="Arial"/>
                <w:color w:val="000000"/>
                <w:szCs w:val="24"/>
              </w:rPr>
              <w:t>107.8</w:t>
            </w:r>
            <w:r>
              <w:rPr>
                <w:rFonts w:cs="Arial"/>
                <w:color w:val="000000"/>
                <w:szCs w:val="24"/>
              </w:rPr>
              <w:t>00</w:t>
            </w:r>
          </w:p>
        </w:tc>
      </w:tr>
      <w:tr w:rsidR="007F00BA" w:rsidTr="008F0AA1">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8F0AA1" w:rsidRPr="00F36E89" w:rsidRDefault="00943C19" w:rsidP="008F0AA1">
            <w:pPr>
              <w:rPr>
                <w:rFonts w:cs="Arial"/>
                <w:color w:val="000000"/>
                <w:szCs w:val="24"/>
              </w:rPr>
            </w:pPr>
            <w:r w:rsidRPr="00F36E89">
              <w:rPr>
                <w:rFonts w:cs="Arial"/>
                <w:color w:val="000000"/>
                <w:szCs w:val="24"/>
              </w:rPr>
              <w:t> </w:t>
            </w:r>
          </w:p>
        </w:tc>
        <w:tc>
          <w:tcPr>
            <w:tcW w:w="1534"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rPr>
                <w:rFonts w:cs="Arial"/>
                <w:color w:val="000000"/>
                <w:szCs w:val="24"/>
              </w:rPr>
            </w:pPr>
            <w:r w:rsidRPr="00F36E89">
              <w:rPr>
                <w:rFonts w:cs="Arial"/>
                <w:color w:val="000000"/>
                <w:szCs w:val="24"/>
              </w:rPr>
              <w:t> </w:t>
            </w:r>
          </w:p>
        </w:tc>
        <w:tc>
          <w:tcPr>
            <w:tcW w:w="1181"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rPr>
                <w:rFonts w:cs="Arial"/>
                <w:color w:val="000000"/>
                <w:szCs w:val="24"/>
              </w:rPr>
            </w:pPr>
            <w:r w:rsidRPr="00F36E89">
              <w:rPr>
                <w:rFonts w:cs="Arial"/>
                <w:color w:val="000000"/>
                <w:szCs w:val="24"/>
              </w:rPr>
              <w:t> </w:t>
            </w:r>
          </w:p>
        </w:tc>
        <w:tc>
          <w:tcPr>
            <w:tcW w:w="1510"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rPr>
                <w:rFonts w:cs="Arial"/>
                <w:color w:val="000000"/>
                <w:szCs w:val="24"/>
              </w:rPr>
            </w:pPr>
            <w:r w:rsidRPr="00F36E89">
              <w:rPr>
                <w:rFonts w:cs="Arial"/>
                <w:color w:val="000000"/>
                <w:szCs w:val="24"/>
              </w:rPr>
              <w:t> </w:t>
            </w:r>
          </w:p>
        </w:tc>
        <w:tc>
          <w:tcPr>
            <w:tcW w:w="1511"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rPr>
                <w:rFonts w:cs="Arial"/>
                <w:color w:val="000000"/>
                <w:szCs w:val="24"/>
              </w:rPr>
            </w:pPr>
            <w:r w:rsidRPr="00F36E89">
              <w:rPr>
                <w:rFonts w:cs="Arial"/>
                <w:color w:val="000000"/>
                <w:szCs w:val="24"/>
              </w:rPr>
              <w:t> </w:t>
            </w:r>
          </w:p>
        </w:tc>
      </w:tr>
      <w:tr w:rsidR="007F00BA" w:rsidTr="008F0AA1">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8F0AA1" w:rsidRPr="00F36E89" w:rsidRDefault="00943C19" w:rsidP="008F0AA1">
            <w:pPr>
              <w:rPr>
                <w:rFonts w:cs="Arial"/>
                <w:color w:val="000000"/>
                <w:szCs w:val="24"/>
              </w:rPr>
            </w:pPr>
            <w:r w:rsidRPr="00F36E89">
              <w:rPr>
                <w:rFonts w:cs="Arial"/>
                <w:color w:val="000000"/>
                <w:szCs w:val="24"/>
              </w:rPr>
              <w:t>Bonds</w:t>
            </w:r>
          </w:p>
        </w:tc>
        <w:tc>
          <w:tcPr>
            <w:tcW w:w="1534"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center"/>
              <w:rPr>
                <w:rFonts w:cs="Arial"/>
                <w:color w:val="000000"/>
                <w:szCs w:val="24"/>
              </w:rPr>
            </w:pPr>
            <w:r w:rsidRPr="00F36E89">
              <w:rPr>
                <w:rFonts w:cs="Arial"/>
                <w:color w:val="000000"/>
                <w:szCs w:val="24"/>
              </w:rPr>
              <w:t>LA Bonds</w:t>
            </w:r>
          </w:p>
        </w:tc>
        <w:tc>
          <w:tcPr>
            <w:tcW w:w="1181"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center"/>
              <w:rPr>
                <w:rFonts w:cs="Arial"/>
                <w:color w:val="000000"/>
                <w:szCs w:val="24"/>
              </w:rPr>
            </w:pPr>
            <w:r w:rsidRPr="00F36E89">
              <w:rPr>
                <w:rFonts w:cs="Arial"/>
                <w:color w:val="000000"/>
                <w:szCs w:val="24"/>
              </w:rPr>
              <w:t>Gilts</w:t>
            </w:r>
          </w:p>
        </w:tc>
        <w:tc>
          <w:tcPr>
            <w:tcW w:w="1510"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center"/>
              <w:rPr>
                <w:rFonts w:cs="Arial"/>
                <w:color w:val="000000"/>
                <w:szCs w:val="24"/>
              </w:rPr>
            </w:pPr>
            <w:r w:rsidRPr="00F36E89">
              <w:rPr>
                <w:rFonts w:cs="Arial"/>
                <w:color w:val="000000"/>
                <w:szCs w:val="24"/>
              </w:rPr>
              <w:t>Others</w:t>
            </w:r>
          </w:p>
        </w:tc>
        <w:tc>
          <w:tcPr>
            <w:tcW w:w="1511"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center"/>
              <w:rPr>
                <w:rFonts w:cs="Arial"/>
                <w:color w:val="000000"/>
                <w:szCs w:val="24"/>
              </w:rPr>
            </w:pPr>
            <w:r w:rsidRPr="00F36E89">
              <w:rPr>
                <w:rFonts w:cs="Arial"/>
                <w:color w:val="000000"/>
                <w:szCs w:val="24"/>
              </w:rPr>
              <w:t>Total</w:t>
            </w:r>
          </w:p>
        </w:tc>
      </w:tr>
      <w:tr w:rsidR="007F00BA" w:rsidTr="008F0AA1">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8F0AA1" w:rsidRPr="00F36E89" w:rsidRDefault="00943C19" w:rsidP="008F0AA1">
            <w:pPr>
              <w:rPr>
                <w:rFonts w:cs="Arial"/>
                <w:color w:val="000000"/>
                <w:szCs w:val="24"/>
              </w:rPr>
            </w:pPr>
            <w:r w:rsidRPr="00F36E89">
              <w:rPr>
                <w:rFonts w:cs="Arial"/>
                <w:color w:val="000000"/>
                <w:szCs w:val="24"/>
              </w:rPr>
              <w:t> </w:t>
            </w:r>
          </w:p>
        </w:tc>
        <w:tc>
          <w:tcPr>
            <w:tcW w:w="1534"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rPr>
                <w:rFonts w:cs="Arial"/>
                <w:color w:val="000000"/>
                <w:szCs w:val="24"/>
              </w:rPr>
            </w:pPr>
            <w:r w:rsidRPr="00F36E89">
              <w:rPr>
                <w:rFonts w:cs="Arial"/>
                <w:color w:val="000000"/>
                <w:szCs w:val="24"/>
              </w:rPr>
              <w:t>£m</w:t>
            </w:r>
          </w:p>
        </w:tc>
        <w:tc>
          <w:tcPr>
            <w:tcW w:w="1181"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rPr>
                <w:rFonts w:cs="Arial"/>
                <w:color w:val="000000"/>
                <w:szCs w:val="24"/>
              </w:rPr>
            </w:pPr>
            <w:r w:rsidRPr="00F36E89">
              <w:rPr>
                <w:rFonts w:cs="Arial"/>
                <w:color w:val="000000"/>
                <w:szCs w:val="24"/>
              </w:rPr>
              <w:t>£m</w:t>
            </w:r>
          </w:p>
        </w:tc>
        <w:tc>
          <w:tcPr>
            <w:tcW w:w="1510"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rPr>
                <w:rFonts w:cs="Arial"/>
                <w:color w:val="000000"/>
                <w:szCs w:val="24"/>
              </w:rPr>
            </w:pPr>
            <w:r w:rsidRPr="00F36E89">
              <w:rPr>
                <w:rFonts w:cs="Arial"/>
                <w:color w:val="000000"/>
                <w:szCs w:val="24"/>
              </w:rPr>
              <w:t>£m</w:t>
            </w:r>
          </w:p>
        </w:tc>
        <w:tc>
          <w:tcPr>
            <w:tcW w:w="1511"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rPr>
                <w:rFonts w:cs="Arial"/>
                <w:color w:val="000000"/>
                <w:szCs w:val="24"/>
              </w:rPr>
            </w:pPr>
            <w:r w:rsidRPr="00F36E89">
              <w:rPr>
                <w:rFonts w:cs="Arial"/>
                <w:color w:val="000000"/>
                <w:szCs w:val="24"/>
              </w:rPr>
              <w:t>£m</w:t>
            </w:r>
          </w:p>
        </w:tc>
      </w:tr>
      <w:tr w:rsidR="007F00BA" w:rsidTr="008F0AA1">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8F0AA1" w:rsidRPr="00F36E89" w:rsidRDefault="00943C19" w:rsidP="008F0AA1">
            <w:pPr>
              <w:rPr>
                <w:rFonts w:cs="Arial"/>
                <w:color w:val="000000"/>
                <w:szCs w:val="24"/>
              </w:rPr>
            </w:pPr>
            <w:r w:rsidRPr="00F36E89">
              <w:rPr>
                <w:rFonts w:cs="Arial"/>
                <w:color w:val="000000"/>
                <w:szCs w:val="24"/>
              </w:rPr>
              <w:t>Balance 1 August 2017</w:t>
            </w:r>
          </w:p>
        </w:tc>
        <w:tc>
          <w:tcPr>
            <w:tcW w:w="1534"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sidRPr="00F36E89">
              <w:rPr>
                <w:rFonts w:cs="Arial"/>
                <w:color w:val="000000"/>
                <w:szCs w:val="24"/>
              </w:rPr>
              <w:t>35.4</w:t>
            </w:r>
            <w:r>
              <w:rPr>
                <w:rFonts w:cs="Arial"/>
                <w:color w:val="000000"/>
                <w:szCs w:val="24"/>
              </w:rPr>
              <w:t>00</w:t>
            </w:r>
          </w:p>
        </w:tc>
        <w:tc>
          <w:tcPr>
            <w:tcW w:w="1181"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sidRPr="00F36E89">
              <w:rPr>
                <w:rFonts w:cs="Arial"/>
                <w:color w:val="000000"/>
                <w:szCs w:val="24"/>
              </w:rPr>
              <w:t>97.3</w:t>
            </w:r>
            <w:r>
              <w:rPr>
                <w:rFonts w:cs="Arial"/>
                <w:color w:val="000000"/>
                <w:szCs w:val="24"/>
              </w:rPr>
              <w:t>00</w:t>
            </w:r>
          </w:p>
        </w:tc>
        <w:tc>
          <w:tcPr>
            <w:tcW w:w="1510"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sidRPr="00F36E89">
              <w:rPr>
                <w:rFonts w:cs="Arial"/>
                <w:color w:val="000000"/>
                <w:szCs w:val="24"/>
              </w:rPr>
              <w:t>173.4</w:t>
            </w:r>
            <w:r>
              <w:rPr>
                <w:rFonts w:cs="Arial"/>
                <w:color w:val="000000"/>
                <w:szCs w:val="24"/>
              </w:rPr>
              <w:t>00</w:t>
            </w:r>
          </w:p>
        </w:tc>
        <w:tc>
          <w:tcPr>
            <w:tcW w:w="1511"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sidRPr="00F36E89">
              <w:rPr>
                <w:rFonts w:cs="Arial"/>
                <w:color w:val="000000"/>
                <w:szCs w:val="24"/>
              </w:rPr>
              <w:t>306.1</w:t>
            </w:r>
            <w:r>
              <w:rPr>
                <w:rFonts w:cs="Arial"/>
                <w:color w:val="000000"/>
                <w:szCs w:val="24"/>
              </w:rPr>
              <w:t>00</w:t>
            </w:r>
          </w:p>
        </w:tc>
      </w:tr>
      <w:tr w:rsidR="007F00BA" w:rsidTr="008F0AA1">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8F0AA1" w:rsidRPr="00F36E89" w:rsidRDefault="00943C19" w:rsidP="008F0AA1">
            <w:pPr>
              <w:rPr>
                <w:rFonts w:cs="Arial"/>
                <w:color w:val="000000"/>
                <w:szCs w:val="24"/>
              </w:rPr>
            </w:pPr>
            <w:r w:rsidRPr="00F36E89">
              <w:rPr>
                <w:rFonts w:cs="Arial"/>
                <w:color w:val="000000"/>
                <w:szCs w:val="24"/>
              </w:rPr>
              <w:t>Maturities</w:t>
            </w:r>
          </w:p>
        </w:tc>
        <w:tc>
          <w:tcPr>
            <w:tcW w:w="1534"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sidRPr="00F36E89">
              <w:rPr>
                <w:rFonts w:cs="Arial"/>
                <w:color w:val="000000"/>
                <w:szCs w:val="24"/>
              </w:rPr>
              <w:t>-1.3</w:t>
            </w:r>
            <w:r>
              <w:rPr>
                <w:rFonts w:cs="Arial"/>
                <w:color w:val="000000"/>
                <w:szCs w:val="24"/>
              </w:rPr>
              <w:t>00</w:t>
            </w:r>
          </w:p>
        </w:tc>
        <w:tc>
          <w:tcPr>
            <w:tcW w:w="1181"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sidRPr="00F36E89">
              <w:rPr>
                <w:rFonts w:cs="Arial"/>
                <w:color w:val="000000"/>
                <w:szCs w:val="24"/>
              </w:rPr>
              <w:t>-110.8</w:t>
            </w:r>
            <w:r>
              <w:rPr>
                <w:rFonts w:cs="Arial"/>
                <w:color w:val="000000"/>
                <w:szCs w:val="24"/>
              </w:rPr>
              <w:t>00</w:t>
            </w:r>
          </w:p>
        </w:tc>
        <w:tc>
          <w:tcPr>
            <w:tcW w:w="1510"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sidRPr="00F36E89">
              <w:rPr>
                <w:rFonts w:cs="Arial"/>
                <w:color w:val="000000"/>
                <w:szCs w:val="24"/>
              </w:rPr>
              <w:t>-55.8</w:t>
            </w:r>
            <w:r>
              <w:rPr>
                <w:rFonts w:cs="Arial"/>
                <w:color w:val="000000"/>
                <w:szCs w:val="24"/>
              </w:rPr>
              <w:t>00</w:t>
            </w:r>
          </w:p>
        </w:tc>
        <w:tc>
          <w:tcPr>
            <w:tcW w:w="1511"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sidRPr="00F36E89">
              <w:rPr>
                <w:rFonts w:cs="Arial"/>
                <w:color w:val="000000"/>
                <w:szCs w:val="24"/>
              </w:rPr>
              <w:t>-167.9</w:t>
            </w:r>
            <w:r>
              <w:rPr>
                <w:rFonts w:cs="Arial"/>
                <w:color w:val="000000"/>
                <w:szCs w:val="24"/>
              </w:rPr>
              <w:t>00</w:t>
            </w:r>
          </w:p>
        </w:tc>
      </w:tr>
      <w:tr w:rsidR="007F00BA" w:rsidTr="008F0AA1">
        <w:trPr>
          <w:trHeight w:val="300"/>
        </w:trPr>
        <w:tc>
          <w:tcPr>
            <w:tcW w:w="3286" w:type="dxa"/>
            <w:tcBorders>
              <w:top w:val="nil"/>
              <w:left w:val="single" w:sz="4" w:space="0" w:color="auto"/>
              <w:bottom w:val="single" w:sz="4" w:space="0" w:color="auto"/>
              <w:right w:val="single" w:sz="4" w:space="0" w:color="auto"/>
            </w:tcBorders>
            <w:shd w:val="clear" w:color="auto" w:fill="auto"/>
            <w:noWrap/>
            <w:vAlign w:val="bottom"/>
            <w:hideMark/>
          </w:tcPr>
          <w:p w:rsidR="008F0AA1" w:rsidRPr="00F36E89" w:rsidRDefault="00943C19" w:rsidP="008F0AA1">
            <w:pPr>
              <w:rPr>
                <w:rFonts w:cs="Arial"/>
                <w:color w:val="000000"/>
                <w:szCs w:val="24"/>
              </w:rPr>
            </w:pPr>
            <w:r w:rsidRPr="00F36E89">
              <w:rPr>
                <w:rFonts w:cs="Arial"/>
                <w:color w:val="000000"/>
                <w:szCs w:val="24"/>
              </w:rPr>
              <w:t>New Investments</w:t>
            </w:r>
          </w:p>
        </w:tc>
        <w:tc>
          <w:tcPr>
            <w:tcW w:w="1534"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sidRPr="00F36E89">
              <w:rPr>
                <w:rFonts w:cs="Arial"/>
                <w:color w:val="000000"/>
                <w:szCs w:val="24"/>
              </w:rPr>
              <w:t>1.4</w:t>
            </w:r>
            <w:r>
              <w:rPr>
                <w:rFonts w:cs="Arial"/>
                <w:color w:val="000000"/>
                <w:szCs w:val="24"/>
              </w:rPr>
              <w:t>00</w:t>
            </w:r>
          </w:p>
        </w:tc>
        <w:tc>
          <w:tcPr>
            <w:tcW w:w="1181"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sidRPr="00F36E89">
              <w:rPr>
                <w:rFonts w:cs="Arial"/>
                <w:color w:val="000000"/>
                <w:szCs w:val="24"/>
              </w:rPr>
              <w:t>147.5</w:t>
            </w:r>
            <w:r>
              <w:rPr>
                <w:rFonts w:cs="Arial"/>
                <w:color w:val="000000"/>
                <w:szCs w:val="24"/>
              </w:rPr>
              <w:t>00</w:t>
            </w:r>
          </w:p>
        </w:tc>
        <w:tc>
          <w:tcPr>
            <w:tcW w:w="1510"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sidRPr="00F36E89">
              <w:rPr>
                <w:rFonts w:cs="Arial"/>
                <w:color w:val="000000"/>
                <w:szCs w:val="24"/>
              </w:rPr>
              <w:t>77.1</w:t>
            </w:r>
            <w:r>
              <w:rPr>
                <w:rFonts w:cs="Arial"/>
                <w:color w:val="000000"/>
                <w:szCs w:val="24"/>
              </w:rPr>
              <w:t>00</w:t>
            </w:r>
          </w:p>
        </w:tc>
        <w:tc>
          <w:tcPr>
            <w:tcW w:w="1511" w:type="dxa"/>
            <w:tcBorders>
              <w:top w:val="nil"/>
              <w:left w:val="nil"/>
              <w:bottom w:val="single" w:sz="4" w:space="0" w:color="auto"/>
              <w:right w:val="single" w:sz="4" w:space="0" w:color="auto"/>
            </w:tcBorders>
            <w:shd w:val="clear" w:color="auto" w:fill="auto"/>
            <w:noWrap/>
            <w:vAlign w:val="bottom"/>
            <w:hideMark/>
          </w:tcPr>
          <w:p w:rsidR="008F0AA1" w:rsidRPr="00F36E89" w:rsidRDefault="00943C19" w:rsidP="008F0AA1">
            <w:pPr>
              <w:jc w:val="right"/>
              <w:rPr>
                <w:rFonts w:cs="Arial"/>
                <w:color w:val="000000"/>
                <w:szCs w:val="24"/>
              </w:rPr>
            </w:pPr>
            <w:r w:rsidRPr="00F36E89">
              <w:rPr>
                <w:rFonts w:cs="Arial"/>
                <w:color w:val="000000"/>
                <w:szCs w:val="24"/>
              </w:rPr>
              <w:t>226</w:t>
            </w:r>
            <w:r>
              <w:rPr>
                <w:rFonts w:cs="Arial"/>
                <w:color w:val="000000"/>
                <w:szCs w:val="24"/>
              </w:rPr>
              <w:t>.000</w:t>
            </w:r>
          </w:p>
        </w:tc>
      </w:tr>
      <w:tr w:rsidR="007F00BA" w:rsidTr="008F0AA1">
        <w:trPr>
          <w:trHeight w:val="300"/>
        </w:trPr>
        <w:tc>
          <w:tcPr>
            <w:tcW w:w="328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8F0AA1" w:rsidRPr="00F36E89" w:rsidRDefault="00943C19" w:rsidP="008F0AA1">
            <w:pPr>
              <w:rPr>
                <w:rFonts w:cs="Arial"/>
                <w:color w:val="000000"/>
                <w:szCs w:val="24"/>
              </w:rPr>
            </w:pPr>
            <w:r w:rsidRPr="00F36E89">
              <w:rPr>
                <w:rFonts w:cs="Arial"/>
                <w:color w:val="000000"/>
                <w:szCs w:val="24"/>
              </w:rPr>
              <w:t>Balance 30 November 2017</w:t>
            </w:r>
          </w:p>
        </w:tc>
        <w:tc>
          <w:tcPr>
            <w:tcW w:w="1534" w:type="dxa"/>
            <w:tcBorders>
              <w:top w:val="nil"/>
              <w:left w:val="nil"/>
              <w:bottom w:val="single" w:sz="4" w:space="0" w:color="auto"/>
              <w:right w:val="single" w:sz="4" w:space="0" w:color="auto"/>
            </w:tcBorders>
            <w:shd w:val="clear" w:color="auto" w:fill="DBE5F1" w:themeFill="accent1" w:themeFillTint="33"/>
            <w:noWrap/>
            <w:vAlign w:val="bottom"/>
            <w:hideMark/>
          </w:tcPr>
          <w:p w:rsidR="008F0AA1" w:rsidRPr="00F36E89" w:rsidRDefault="00943C19" w:rsidP="008F0AA1">
            <w:pPr>
              <w:jc w:val="right"/>
              <w:rPr>
                <w:rFonts w:cs="Arial"/>
                <w:color w:val="000000"/>
                <w:szCs w:val="24"/>
              </w:rPr>
            </w:pPr>
            <w:r w:rsidRPr="00F36E89">
              <w:rPr>
                <w:rFonts w:cs="Arial"/>
                <w:color w:val="000000"/>
                <w:szCs w:val="24"/>
              </w:rPr>
              <w:t>35.5</w:t>
            </w:r>
            <w:r>
              <w:rPr>
                <w:rFonts w:cs="Arial"/>
                <w:color w:val="000000"/>
                <w:szCs w:val="24"/>
              </w:rPr>
              <w:t>00</w:t>
            </w:r>
          </w:p>
        </w:tc>
        <w:tc>
          <w:tcPr>
            <w:tcW w:w="1181" w:type="dxa"/>
            <w:tcBorders>
              <w:top w:val="nil"/>
              <w:left w:val="nil"/>
              <w:bottom w:val="single" w:sz="4" w:space="0" w:color="auto"/>
              <w:right w:val="single" w:sz="4" w:space="0" w:color="auto"/>
            </w:tcBorders>
            <w:shd w:val="clear" w:color="auto" w:fill="DBE5F1" w:themeFill="accent1" w:themeFillTint="33"/>
            <w:noWrap/>
            <w:vAlign w:val="bottom"/>
            <w:hideMark/>
          </w:tcPr>
          <w:p w:rsidR="008F0AA1" w:rsidRPr="00F36E89" w:rsidRDefault="00943C19" w:rsidP="008F0AA1">
            <w:pPr>
              <w:jc w:val="right"/>
              <w:rPr>
                <w:rFonts w:cs="Arial"/>
                <w:color w:val="000000"/>
                <w:szCs w:val="24"/>
              </w:rPr>
            </w:pPr>
            <w:r>
              <w:rPr>
                <w:rFonts w:cs="Arial"/>
                <w:color w:val="000000"/>
                <w:szCs w:val="24"/>
              </w:rPr>
              <w:t>134.000</w:t>
            </w:r>
          </w:p>
        </w:tc>
        <w:tc>
          <w:tcPr>
            <w:tcW w:w="1510" w:type="dxa"/>
            <w:tcBorders>
              <w:top w:val="nil"/>
              <w:left w:val="nil"/>
              <w:bottom w:val="single" w:sz="4" w:space="0" w:color="auto"/>
              <w:right w:val="single" w:sz="4" w:space="0" w:color="auto"/>
            </w:tcBorders>
            <w:shd w:val="clear" w:color="auto" w:fill="DBE5F1" w:themeFill="accent1" w:themeFillTint="33"/>
            <w:noWrap/>
            <w:vAlign w:val="bottom"/>
            <w:hideMark/>
          </w:tcPr>
          <w:p w:rsidR="008F0AA1" w:rsidRPr="00F36E89" w:rsidRDefault="00943C19" w:rsidP="008F0AA1">
            <w:pPr>
              <w:jc w:val="right"/>
              <w:rPr>
                <w:rFonts w:cs="Arial"/>
                <w:color w:val="000000"/>
                <w:szCs w:val="24"/>
              </w:rPr>
            </w:pPr>
            <w:r w:rsidRPr="00F36E89">
              <w:rPr>
                <w:rFonts w:cs="Arial"/>
                <w:color w:val="000000"/>
                <w:szCs w:val="24"/>
              </w:rPr>
              <w:t>194.7</w:t>
            </w:r>
            <w:r>
              <w:rPr>
                <w:rFonts w:cs="Arial"/>
                <w:color w:val="000000"/>
                <w:szCs w:val="24"/>
              </w:rPr>
              <w:t>00</w:t>
            </w:r>
          </w:p>
        </w:tc>
        <w:tc>
          <w:tcPr>
            <w:tcW w:w="1511" w:type="dxa"/>
            <w:tcBorders>
              <w:top w:val="nil"/>
              <w:left w:val="nil"/>
              <w:bottom w:val="single" w:sz="4" w:space="0" w:color="auto"/>
              <w:right w:val="single" w:sz="4" w:space="0" w:color="auto"/>
            </w:tcBorders>
            <w:shd w:val="clear" w:color="auto" w:fill="DBE5F1" w:themeFill="accent1" w:themeFillTint="33"/>
            <w:noWrap/>
            <w:vAlign w:val="bottom"/>
            <w:hideMark/>
          </w:tcPr>
          <w:p w:rsidR="008F0AA1" w:rsidRPr="00F36E89" w:rsidRDefault="00943C19" w:rsidP="008F0AA1">
            <w:pPr>
              <w:jc w:val="right"/>
              <w:rPr>
                <w:rFonts w:cs="Arial"/>
                <w:color w:val="000000"/>
                <w:szCs w:val="24"/>
              </w:rPr>
            </w:pPr>
            <w:r>
              <w:rPr>
                <w:rFonts w:cs="Arial"/>
                <w:color w:val="000000"/>
                <w:szCs w:val="24"/>
              </w:rPr>
              <w:t>364.200</w:t>
            </w:r>
          </w:p>
        </w:tc>
      </w:tr>
    </w:tbl>
    <w:p w:rsidR="008F0AA1" w:rsidRPr="00763986" w:rsidRDefault="00943C19" w:rsidP="008F0AA1">
      <w:pPr>
        <w:pStyle w:val="ListParagraph"/>
        <w:spacing w:after="0" w:line="240" w:lineRule="auto"/>
        <w:ind w:left="0"/>
        <w:jc w:val="both"/>
        <w:rPr>
          <w:rFonts w:cs="Arial"/>
          <w:szCs w:val="24"/>
          <w:highlight w:val="green"/>
        </w:rPr>
      </w:pPr>
    </w:p>
    <w:p w:rsidR="008F0AA1" w:rsidRPr="00A32108" w:rsidRDefault="00943C19" w:rsidP="008F0AA1">
      <w:pPr>
        <w:jc w:val="both"/>
        <w:rPr>
          <w:rFonts w:cs="Arial"/>
          <w:szCs w:val="24"/>
        </w:rPr>
      </w:pPr>
      <w:r w:rsidRPr="00EC4C1A">
        <w:rPr>
          <w:rFonts w:cs="Arial"/>
          <w:color w:val="000000"/>
          <w:szCs w:val="24"/>
        </w:rPr>
        <w:t xml:space="preserve">Within the period, there has been a reduction in the </w:t>
      </w:r>
      <w:r w:rsidRPr="00EC4C1A">
        <w:rPr>
          <w:rFonts w:cs="Arial"/>
          <w:color w:val="000000"/>
          <w:szCs w:val="24"/>
        </w:rPr>
        <w:t>level of Bank and Local Authority deposits of £112m.</w:t>
      </w:r>
      <w:r>
        <w:rPr>
          <w:rFonts w:cs="Arial"/>
          <w:color w:val="000000"/>
          <w:szCs w:val="24"/>
        </w:rPr>
        <w:t xml:space="preserve"> This has been due to the reduced requirement to hold investments as a result of the cash flow position but also to accommodate an</w:t>
      </w:r>
      <w:r w:rsidRPr="00EC4C1A">
        <w:t xml:space="preserve"> </w:t>
      </w:r>
      <w:r w:rsidRPr="00EC4C1A">
        <w:rPr>
          <w:rFonts w:cs="Arial"/>
          <w:color w:val="000000"/>
          <w:szCs w:val="24"/>
        </w:rPr>
        <w:t xml:space="preserve">increase of £36.8m in the </w:t>
      </w:r>
      <w:r>
        <w:rPr>
          <w:rFonts w:cs="Arial"/>
          <w:color w:val="000000"/>
          <w:szCs w:val="24"/>
        </w:rPr>
        <w:t>volume</w:t>
      </w:r>
      <w:r w:rsidRPr="00EC4C1A">
        <w:rPr>
          <w:rFonts w:cs="Arial"/>
          <w:color w:val="000000"/>
          <w:szCs w:val="24"/>
        </w:rPr>
        <w:t xml:space="preserve"> of </w:t>
      </w:r>
      <w:r>
        <w:rPr>
          <w:rFonts w:cs="Arial"/>
          <w:color w:val="000000"/>
          <w:szCs w:val="24"/>
        </w:rPr>
        <w:t>g</w:t>
      </w:r>
      <w:r w:rsidRPr="00EC4C1A">
        <w:rPr>
          <w:rFonts w:cs="Arial"/>
          <w:color w:val="000000"/>
          <w:szCs w:val="24"/>
        </w:rPr>
        <w:t>ilts and</w:t>
      </w:r>
      <w:r>
        <w:rPr>
          <w:rFonts w:cs="Arial"/>
          <w:color w:val="000000"/>
          <w:szCs w:val="24"/>
        </w:rPr>
        <w:t xml:space="preserve"> corporate bonds</w:t>
      </w:r>
      <w:r w:rsidRPr="00EC4C1A">
        <w:rPr>
          <w:rFonts w:cs="Arial"/>
          <w:color w:val="000000"/>
          <w:szCs w:val="24"/>
        </w:rPr>
        <w:t xml:space="preserve"> being held </w:t>
      </w:r>
      <w:r w:rsidRPr="00EC4C1A">
        <w:rPr>
          <w:rFonts w:cs="Arial"/>
          <w:color w:val="000000"/>
          <w:szCs w:val="24"/>
        </w:rPr>
        <w:t xml:space="preserve">as a consequence of the </w:t>
      </w:r>
      <w:r>
        <w:rPr>
          <w:rFonts w:cs="Arial"/>
          <w:color w:val="000000"/>
          <w:szCs w:val="24"/>
        </w:rPr>
        <w:t>fluctuations</w:t>
      </w:r>
      <w:r w:rsidRPr="00EC4C1A">
        <w:rPr>
          <w:rFonts w:cs="Arial"/>
          <w:color w:val="000000"/>
          <w:szCs w:val="24"/>
        </w:rPr>
        <w:t xml:space="preserve"> in the market</w:t>
      </w:r>
      <w:r>
        <w:rPr>
          <w:rFonts w:cs="Arial"/>
          <w:color w:val="000000"/>
          <w:szCs w:val="24"/>
        </w:rPr>
        <w:t>.</w:t>
      </w:r>
    </w:p>
    <w:p w:rsidR="008F0AA1" w:rsidRPr="00A32108" w:rsidRDefault="00943C19" w:rsidP="008F0AA1">
      <w:pPr>
        <w:jc w:val="both"/>
        <w:rPr>
          <w:rFonts w:cs="Arial"/>
          <w:szCs w:val="24"/>
        </w:rPr>
      </w:pPr>
      <w:r w:rsidRPr="00A32108">
        <w:rPr>
          <w:rFonts w:cs="Arial"/>
          <w:szCs w:val="24"/>
        </w:rPr>
        <w:t xml:space="preserve"> </w:t>
      </w:r>
    </w:p>
    <w:p w:rsidR="008F0AA1" w:rsidRDefault="00943C19" w:rsidP="008F0AA1">
      <w:pPr>
        <w:jc w:val="both"/>
        <w:rPr>
          <w:rFonts w:cs="Arial"/>
          <w:szCs w:val="24"/>
        </w:rPr>
      </w:pPr>
      <w:r w:rsidRPr="00784E67">
        <w:rPr>
          <w:rFonts w:cs="Arial"/>
          <w:szCs w:val="24"/>
        </w:rPr>
        <w:t>The current rate of return on the investment portfolio measured by Arlingclose Ltd treasury consultants is 1.22% which compares favourably with the benchmark 7 day LIBID which averages 0.11% over the sa</w:t>
      </w:r>
      <w:r w:rsidRPr="00784E67">
        <w:rPr>
          <w:rFonts w:cs="Arial"/>
          <w:szCs w:val="24"/>
        </w:rPr>
        <w:t>me period.</w:t>
      </w:r>
    </w:p>
    <w:p w:rsidR="008F0AA1" w:rsidRDefault="00943C19" w:rsidP="008F0AA1">
      <w:pPr>
        <w:jc w:val="both"/>
        <w:rPr>
          <w:rFonts w:cs="Arial"/>
          <w:szCs w:val="24"/>
        </w:rPr>
      </w:pPr>
    </w:p>
    <w:p w:rsidR="008F0AA1" w:rsidRPr="00057C9B" w:rsidRDefault="00943C19" w:rsidP="008F0AA1">
      <w:pPr>
        <w:jc w:val="both"/>
        <w:rPr>
          <w:rFonts w:cs="Arial"/>
          <w:b/>
          <w:szCs w:val="24"/>
        </w:rPr>
      </w:pPr>
      <w:r w:rsidRPr="00057C9B">
        <w:rPr>
          <w:rFonts w:cs="Arial"/>
          <w:b/>
          <w:szCs w:val="24"/>
        </w:rPr>
        <w:t>Borrowing Activity</w:t>
      </w:r>
    </w:p>
    <w:p w:rsidR="008F0AA1" w:rsidRDefault="00943C19" w:rsidP="008F0AA1">
      <w:pPr>
        <w:jc w:val="both"/>
        <w:rPr>
          <w:rFonts w:cs="Arial"/>
          <w:szCs w:val="24"/>
        </w:rPr>
      </w:pPr>
      <w:r w:rsidRPr="00A32108">
        <w:rPr>
          <w:rFonts w:cs="Arial"/>
          <w:szCs w:val="24"/>
        </w:rPr>
        <w:t xml:space="preserve">Current market conditions continue to enable the </w:t>
      </w:r>
      <w:r>
        <w:rPr>
          <w:rFonts w:cs="Arial"/>
          <w:szCs w:val="24"/>
        </w:rPr>
        <w:t>c</w:t>
      </w:r>
      <w:r w:rsidRPr="00A32108">
        <w:rPr>
          <w:rFonts w:cs="Arial"/>
          <w:szCs w:val="24"/>
        </w:rPr>
        <w:t xml:space="preserve">ounty </w:t>
      </w:r>
      <w:r>
        <w:rPr>
          <w:rFonts w:cs="Arial"/>
          <w:szCs w:val="24"/>
        </w:rPr>
        <w:t>c</w:t>
      </w:r>
      <w:r w:rsidRPr="00A32108">
        <w:rPr>
          <w:rFonts w:cs="Arial"/>
          <w:szCs w:val="24"/>
        </w:rPr>
        <w:t xml:space="preserve">ouncil to take advantage of short term market borrowing. The </w:t>
      </w:r>
      <w:r>
        <w:rPr>
          <w:rFonts w:cs="Arial"/>
          <w:szCs w:val="24"/>
        </w:rPr>
        <w:t xml:space="preserve">council did not have a need to increase its borrowing in the period therefore new borrowing was restricted </w:t>
      </w:r>
      <w:r>
        <w:rPr>
          <w:rFonts w:cs="Arial"/>
          <w:szCs w:val="24"/>
        </w:rPr>
        <w:t>to the replacement of maturing debt. The t</w:t>
      </w:r>
      <w:r w:rsidRPr="00A32108">
        <w:rPr>
          <w:rFonts w:cs="Arial"/>
          <w:szCs w:val="24"/>
        </w:rPr>
        <w:t xml:space="preserve">able below shows the borrowing activity which has taken place between </w:t>
      </w:r>
      <w:r w:rsidRPr="00763986">
        <w:rPr>
          <w:rFonts w:cs="Arial"/>
          <w:szCs w:val="24"/>
        </w:rPr>
        <w:t>1 A</w:t>
      </w:r>
      <w:r>
        <w:rPr>
          <w:rFonts w:cs="Arial"/>
          <w:szCs w:val="24"/>
        </w:rPr>
        <w:t xml:space="preserve">ugust </w:t>
      </w:r>
      <w:r w:rsidRPr="00763986">
        <w:rPr>
          <w:rFonts w:cs="Arial"/>
          <w:szCs w:val="24"/>
        </w:rPr>
        <w:t xml:space="preserve">2017 and </w:t>
      </w:r>
      <w:r>
        <w:rPr>
          <w:rFonts w:cs="Arial"/>
          <w:szCs w:val="24"/>
        </w:rPr>
        <w:t>30</w:t>
      </w:r>
      <w:r>
        <w:rPr>
          <w:rFonts w:cs="Arial"/>
          <w:szCs w:val="24"/>
          <w:vertAlign w:val="superscript"/>
        </w:rPr>
        <w:t xml:space="preserve"> </w:t>
      </w:r>
      <w:r>
        <w:rPr>
          <w:rFonts w:cs="Arial"/>
          <w:szCs w:val="24"/>
        </w:rPr>
        <w:t>November</w:t>
      </w:r>
      <w:r w:rsidRPr="00763986">
        <w:rPr>
          <w:rFonts w:cs="Arial"/>
          <w:szCs w:val="24"/>
        </w:rPr>
        <w:t xml:space="preserve"> 2017</w:t>
      </w:r>
      <w:r w:rsidRPr="00A32108">
        <w:rPr>
          <w:rFonts w:cs="Arial"/>
          <w:szCs w:val="24"/>
        </w:rPr>
        <w:t>.</w:t>
      </w:r>
    </w:p>
    <w:p w:rsidR="008F0AA1" w:rsidRDefault="00943C19" w:rsidP="008F0AA1">
      <w:pPr>
        <w:jc w:val="both"/>
        <w:rPr>
          <w:rFonts w:cs="Arial"/>
          <w:szCs w:val="24"/>
        </w:rPr>
      </w:pPr>
    </w:p>
    <w:p w:rsidR="008F0AA1" w:rsidRDefault="00943C19" w:rsidP="008F0AA1">
      <w:pPr>
        <w:jc w:val="both"/>
        <w:rPr>
          <w:rFonts w:cs="Arial"/>
          <w:szCs w:val="24"/>
        </w:rPr>
      </w:pPr>
    </w:p>
    <w:p w:rsidR="008F0AA1" w:rsidRDefault="00943C19" w:rsidP="008F0AA1">
      <w:pPr>
        <w:jc w:val="both"/>
        <w:rPr>
          <w:rFonts w:cs="Arial"/>
          <w:szCs w:val="24"/>
        </w:rPr>
      </w:pPr>
    </w:p>
    <w:p w:rsidR="008F0AA1" w:rsidRDefault="00943C19" w:rsidP="008F0AA1">
      <w:pPr>
        <w:jc w:val="both"/>
        <w:rPr>
          <w:rFonts w:cs="Arial"/>
          <w:szCs w:val="24"/>
        </w:rPr>
      </w:pPr>
    </w:p>
    <w:p w:rsidR="008F0AA1" w:rsidRDefault="00943C19" w:rsidP="008F0AA1">
      <w:pPr>
        <w:jc w:val="both"/>
        <w:rPr>
          <w:rFonts w:cs="Arial"/>
          <w:szCs w:val="24"/>
        </w:rPr>
      </w:pPr>
    </w:p>
    <w:tbl>
      <w:tblPr>
        <w:tblStyle w:val="TableGrid"/>
        <w:tblW w:w="9067" w:type="dxa"/>
        <w:tblLayout w:type="fixed"/>
        <w:tblLook w:val="04A0" w:firstRow="1" w:lastRow="0" w:firstColumn="1" w:lastColumn="0" w:noHBand="0" w:noVBand="1"/>
      </w:tblPr>
      <w:tblGrid>
        <w:gridCol w:w="1555"/>
        <w:gridCol w:w="1134"/>
        <w:gridCol w:w="1134"/>
        <w:gridCol w:w="992"/>
        <w:gridCol w:w="1417"/>
        <w:gridCol w:w="1418"/>
        <w:gridCol w:w="1417"/>
      </w:tblGrid>
      <w:tr w:rsidR="007F00BA" w:rsidTr="00E40734">
        <w:trPr>
          <w:trHeight w:val="300"/>
        </w:trPr>
        <w:tc>
          <w:tcPr>
            <w:tcW w:w="1555" w:type="dxa"/>
            <w:noWrap/>
            <w:hideMark/>
          </w:tcPr>
          <w:p w:rsidR="008F0AA1" w:rsidRPr="007D20E3" w:rsidRDefault="00943C19" w:rsidP="008F0AA1">
            <w:pPr>
              <w:rPr>
                <w:rFonts w:cs="Arial"/>
                <w:szCs w:val="24"/>
              </w:rPr>
            </w:pPr>
            <w:r w:rsidRPr="007D20E3">
              <w:rPr>
                <w:rFonts w:cs="Arial"/>
                <w:szCs w:val="24"/>
              </w:rPr>
              <w:lastRenderedPageBreak/>
              <w:t>Borrowing</w:t>
            </w:r>
          </w:p>
        </w:tc>
        <w:tc>
          <w:tcPr>
            <w:tcW w:w="1134" w:type="dxa"/>
            <w:noWrap/>
            <w:hideMark/>
          </w:tcPr>
          <w:p w:rsidR="008F0AA1" w:rsidRPr="007D20E3" w:rsidRDefault="00943C19" w:rsidP="008F0AA1">
            <w:pPr>
              <w:rPr>
                <w:rFonts w:cs="Arial"/>
                <w:szCs w:val="24"/>
              </w:rPr>
            </w:pPr>
            <w:r w:rsidRPr="007D20E3">
              <w:rPr>
                <w:rFonts w:cs="Arial"/>
                <w:szCs w:val="24"/>
              </w:rPr>
              <w:t>PWLB Fixed</w:t>
            </w:r>
          </w:p>
        </w:tc>
        <w:tc>
          <w:tcPr>
            <w:tcW w:w="1134" w:type="dxa"/>
            <w:noWrap/>
            <w:hideMark/>
          </w:tcPr>
          <w:p w:rsidR="008F0AA1" w:rsidRPr="007D20E3" w:rsidRDefault="00943C19" w:rsidP="008F0AA1">
            <w:pPr>
              <w:rPr>
                <w:rFonts w:cs="Arial"/>
                <w:szCs w:val="24"/>
              </w:rPr>
            </w:pPr>
            <w:r w:rsidRPr="007D20E3">
              <w:rPr>
                <w:rFonts w:cs="Arial"/>
                <w:szCs w:val="24"/>
              </w:rPr>
              <w:t>PWLB Variable</w:t>
            </w:r>
          </w:p>
        </w:tc>
        <w:tc>
          <w:tcPr>
            <w:tcW w:w="992" w:type="dxa"/>
            <w:noWrap/>
            <w:hideMark/>
          </w:tcPr>
          <w:p w:rsidR="008F0AA1" w:rsidRPr="007D20E3" w:rsidRDefault="00943C19" w:rsidP="008F0AA1">
            <w:pPr>
              <w:rPr>
                <w:rFonts w:cs="Arial"/>
                <w:szCs w:val="24"/>
              </w:rPr>
            </w:pPr>
            <w:r w:rsidRPr="007D20E3">
              <w:rPr>
                <w:rFonts w:cs="Arial"/>
                <w:szCs w:val="24"/>
              </w:rPr>
              <w:t>Long Term Market Loan</w:t>
            </w:r>
          </w:p>
        </w:tc>
        <w:tc>
          <w:tcPr>
            <w:tcW w:w="1417" w:type="dxa"/>
            <w:noWrap/>
            <w:hideMark/>
          </w:tcPr>
          <w:p w:rsidR="008F0AA1" w:rsidRPr="007D20E3" w:rsidRDefault="00943C19" w:rsidP="008F0AA1">
            <w:pPr>
              <w:rPr>
                <w:rFonts w:cs="Arial"/>
                <w:szCs w:val="24"/>
              </w:rPr>
            </w:pPr>
            <w:r w:rsidRPr="007D20E3">
              <w:rPr>
                <w:rFonts w:cs="Arial"/>
                <w:szCs w:val="24"/>
              </w:rPr>
              <w:t>Police, Fire &amp; Lancashire District Councils</w:t>
            </w:r>
          </w:p>
        </w:tc>
        <w:tc>
          <w:tcPr>
            <w:tcW w:w="1418" w:type="dxa"/>
          </w:tcPr>
          <w:p w:rsidR="008F0AA1" w:rsidRPr="007D20E3" w:rsidRDefault="00943C19" w:rsidP="008F0AA1">
            <w:pPr>
              <w:rPr>
                <w:rFonts w:cs="Arial"/>
                <w:szCs w:val="24"/>
              </w:rPr>
            </w:pPr>
            <w:r>
              <w:rPr>
                <w:rFonts w:cs="Arial"/>
                <w:szCs w:val="24"/>
              </w:rPr>
              <w:t xml:space="preserve">Other Local Authorities </w:t>
            </w:r>
          </w:p>
        </w:tc>
        <w:tc>
          <w:tcPr>
            <w:tcW w:w="1417" w:type="dxa"/>
            <w:noWrap/>
            <w:hideMark/>
          </w:tcPr>
          <w:p w:rsidR="008F0AA1" w:rsidRPr="007D20E3" w:rsidRDefault="00943C19" w:rsidP="008F0AA1">
            <w:pPr>
              <w:rPr>
                <w:rFonts w:cs="Arial"/>
                <w:szCs w:val="24"/>
              </w:rPr>
            </w:pPr>
            <w:r w:rsidRPr="007D20E3">
              <w:rPr>
                <w:rFonts w:cs="Arial"/>
                <w:szCs w:val="24"/>
              </w:rPr>
              <w:t xml:space="preserve"> Total </w:t>
            </w:r>
          </w:p>
        </w:tc>
      </w:tr>
      <w:tr w:rsidR="007F00BA" w:rsidTr="00E40734">
        <w:trPr>
          <w:trHeight w:val="300"/>
        </w:trPr>
        <w:tc>
          <w:tcPr>
            <w:tcW w:w="1555" w:type="dxa"/>
            <w:noWrap/>
            <w:hideMark/>
          </w:tcPr>
          <w:p w:rsidR="008F0AA1" w:rsidRPr="007D20E3" w:rsidRDefault="00943C19" w:rsidP="008F0AA1">
            <w:pPr>
              <w:rPr>
                <w:rFonts w:cs="Arial"/>
                <w:szCs w:val="24"/>
              </w:rPr>
            </w:pPr>
          </w:p>
        </w:tc>
        <w:tc>
          <w:tcPr>
            <w:tcW w:w="1134" w:type="dxa"/>
            <w:noWrap/>
            <w:hideMark/>
          </w:tcPr>
          <w:p w:rsidR="008F0AA1" w:rsidRPr="007D20E3" w:rsidRDefault="00943C19" w:rsidP="008F0AA1">
            <w:pPr>
              <w:rPr>
                <w:rFonts w:cs="Arial"/>
                <w:szCs w:val="24"/>
              </w:rPr>
            </w:pPr>
            <w:r w:rsidRPr="007D20E3">
              <w:rPr>
                <w:rFonts w:cs="Arial"/>
                <w:szCs w:val="24"/>
              </w:rPr>
              <w:t>£m</w:t>
            </w:r>
          </w:p>
        </w:tc>
        <w:tc>
          <w:tcPr>
            <w:tcW w:w="1134" w:type="dxa"/>
            <w:noWrap/>
            <w:hideMark/>
          </w:tcPr>
          <w:p w:rsidR="008F0AA1" w:rsidRPr="007D20E3" w:rsidRDefault="00943C19" w:rsidP="008F0AA1">
            <w:pPr>
              <w:rPr>
                <w:rFonts w:cs="Arial"/>
                <w:szCs w:val="24"/>
              </w:rPr>
            </w:pPr>
            <w:r w:rsidRPr="007D20E3">
              <w:rPr>
                <w:rFonts w:cs="Arial"/>
                <w:szCs w:val="24"/>
              </w:rPr>
              <w:t>£m</w:t>
            </w:r>
          </w:p>
        </w:tc>
        <w:tc>
          <w:tcPr>
            <w:tcW w:w="992" w:type="dxa"/>
            <w:noWrap/>
            <w:hideMark/>
          </w:tcPr>
          <w:p w:rsidR="008F0AA1" w:rsidRPr="007D20E3" w:rsidRDefault="00943C19" w:rsidP="008F0AA1">
            <w:pPr>
              <w:rPr>
                <w:rFonts w:cs="Arial"/>
                <w:szCs w:val="24"/>
              </w:rPr>
            </w:pPr>
            <w:r w:rsidRPr="007D20E3">
              <w:rPr>
                <w:rFonts w:cs="Arial"/>
                <w:szCs w:val="24"/>
              </w:rPr>
              <w:t>£m</w:t>
            </w:r>
          </w:p>
        </w:tc>
        <w:tc>
          <w:tcPr>
            <w:tcW w:w="1417" w:type="dxa"/>
            <w:noWrap/>
            <w:hideMark/>
          </w:tcPr>
          <w:p w:rsidR="008F0AA1" w:rsidRPr="007D20E3" w:rsidRDefault="00943C19" w:rsidP="008F0AA1">
            <w:pPr>
              <w:rPr>
                <w:rFonts w:cs="Arial"/>
                <w:szCs w:val="24"/>
              </w:rPr>
            </w:pPr>
            <w:r w:rsidRPr="007D20E3">
              <w:rPr>
                <w:rFonts w:cs="Arial"/>
                <w:szCs w:val="24"/>
              </w:rPr>
              <w:t>£m</w:t>
            </w:r>
          </w:p>
        </w:tc>
        <w:tc>
          <w:tcPr>
            <w:tcW w:w="1418" w:type="dxa"/>
          </w:tcPr>
          <w:p w:rsidR="008F0AA1" w:rsidRPr="007D20E3" w:rsidRDefault="00943C19" w:rsidP="008F0AA1">
            <w:pPr>
              <w:rPr>
                <w:rFonts w:cs="Arial"/>
                <w:szCs w:val="24"/>
              </w:rPr>
            </w:pPr>
            <w:r w:rsidRPr="007D20E3">
              <w:rPr>
                <w:rFonts w:cs="Arial"/>
                <w:szCs w:val="24"/>
              </w:rPr>
              <w:t>£m</w:t>
            </w:r>
          </w:p>
        </w:tc>
        <w:tc>
          <w:tcPr>
            <w:tcW w:w="1417" w:type="dxa"/>
            <w:noWrap/>
            <w:hideMark/>
          </w:tcPr>
          <w:p w:rsidR="008F0AA1" w:rsidRPr="007D20E3" w:rsidRDefault="00943C19" w:rsidP="008F0AA1">
            <w:pPr>
              <w:rPr>
                <w:rFonts w:cs="Arial"/>
                <w:szCs w:val="24"/>
              </w:rPr>
            </w:pPr>
            <w:r w:rsidRPr="007D20E3">
              <w:rPr>
                <w:rFonts w:cs="Arial"/>
                <w:szCs w:val="24"/>
              </w:rPr>
              <w:t>£m</w:t>
            </w:r>
          </w:p>
        </w:tc>
      </w:tr>
      <w:tr w:rsidR="007F00BA" w:rsidTr="00E40734">
        <w:trPr>
          <w:trHeight w:val="300"/>
        </w:trPr>
        <w:tc>
          <w:tcPr>
            <w:tcW w:w="1555" w:type="dxa"/>
            <w:shd w:val="clear" w:color="auto" w:fill="DBE5F1" w:themeFill="accent1" w:themeFillTint="33"/>
            <w:noWrap/>
            <w:hideMark/>
          </w:tcPr>
          <w:p w:rsidR="008F0AA1" w:rsidRPr="007D20E3" w:rsidRDefault="00943C19" w:rsidP="008F0AA1">
            <w:pPr>
              <w:rPr>
                <w:rFonts w:cs="Arial"/>
                <w:szCs w:val="24"/>
              </w:rPr>
            </w:pPr>
            <w:r w:rsidRPr="007D20E3">
              <w:rPr>
                <w:rFonts w:cs="Arial"/>
                <w:szCs w:val="24"/>
              </w:rPr>
              <w:t>Balance 1 August 2017</w:t>
            </w:r>
          </w:p>
        </w:tc>
        <w:tc>
          <w:tcPr>
            <w:tcW w:w="1134" w:type="dxa"/>
            <w:shd w:val="clear" w:color="auto" w:fill="DBE5F1" w:themeFill="accent1" w:themeFillTint="33"/>
            <w:noWrap/>
            <w:hideMark/>
          </w:tcPr>
          <w:p w:rsidR="008F0AA1" w:rsidRPr="007D20E3" w:rsidRDefault="00943C19" w:rsidP="008F0AA1">
            <w:pPr>
              <w:jc w:val="right"/>
              <w:rPr>
                <w:rFonts w:cs="Arial"/>
                <w:szCs w:val="24"/>
              </w:rPr>
            </w:pPr>
            <w:r w:rsidRPr="007D20E3">
              <w:rPr>
                <w:rFonts w:cs="Arial"/>
                <w:szCs w:val="24"/>
              </w:rPr>
              <w:t>213.100</w:t>
            </w:r>
          </w:p>
        </w:tc>
        <w:tc>
          <w:tcPr>
            <w:tcW w:w="1134" w:type="dxa"/>
            <w:shd w:val="clear" w:color="auto" w:fill="DBE5F1" w:themeFill="accent1" w:themeFillTint="33"/>
            <w:noWrap/>
            <w:hideMark/>
          </w:tcPr>
          <w:p w:rsidR="008F0AA1" w:rsidRPr="007D20E3" w:rsidRDefault="00943C19" w:rsidP="008F0AA1">
            <w:pPr>
              <w:jc w:val="right"/>
              <w:rPr>
                <w:rFonts w:cs="Arial"/>
                <w:szCs w:val="24"/>
              </w:rPr>
            </w:pPr>
            <w:r w:rsidRPr="007D20E3">
              <w:rPr>
                <w:rFonts w:cs="Arial"/>
                <w:szCs w:val="24"/>
              </w:rPr>
              <w:t>125.800</w:t>
            </w:r>
          </w:p>
        </w:tc>
        <w:tc>
          <w:tcPr>
            <w:tcW w:w="992" w:type="dxa"/>
            <w:shd w:val="clear" w:color="auto" w:fill="DBE5F1" w:themeFill="accent1" w:themeFillTint="33"/>
            <w:noWrap/>
            <w:hideMark/>
          </w:tcPr>
          <w:p w:rsidR="008F0AA1" w:rsidRPr="007D20E3" w:rsidRDefault="00943C19" w:rsidP="009C7CFD">
            <w:pPr>
              <w:jc w:val="right"/>
              <w:rPr>
                <w:rFonts w:cs="Arial"/>
                <w:szCs w:val="24"/>
              </w:rPr>
            </w:pPr>
            <w:r w:rsidRPr="007D20E3">
              <w:rPr>
                <w:rFonts w:cs="Arial"/>
                <w:szCs w:val="24"/>
              </w:rPr>
              <w:t>5</w:t>
            </w:r>
            <w:r>
              <w:rPr>
                <w:rFonts w:cs="Arial"/>
                <w:szCs w:val="24"/>
              </w:rPr>
              <w:t>0</w:t>
            </w:r>
            <w:r w:rsidRPr="007D20E3">
              <w:rPr>
                <w:rFonts w:cs="Arial"/>
                <w:szCs w:val="24"/>
              </w:rPr>
              <w:t>.</w:t>
            </w:r>
            <w:r>
              <w:rPr>
                <w:rFonts w:cs="Arial"/>
                <w:szCs w:val="24"/>
              </w:rPr>
              <w:t>0</w:t>
            </w:r>
            <w:r w:rsidRPr="007D20E3">
              <w:rPr>
                <w:rFonts w:cs="Arial"/>
                <w:szCs w:val="24"/>
              </w:rPr>
              <w:t>00</w:t>
            </w:r>
          </w:p>
        </w:tc>
        <w:tc>
          <w:tcPr>
            <w:tcW w:w="1417" w:type="dxa"/>
            <w:shd w:val="clear" w:color="auto" w:fill="DBE5F1" w:themeFill="accent1" w:themeFillTint="33"/>
            <w:noWrap/>
            <w:hideMark/>
          </w:tcPr>
          <w:p w:rsidR="008F0AA1" w:rsidRPr="007D20E3" w:rsidRDefault="00943C19" w:rsidP="008F0AA1">
            <w:pPr>
              <w:jc w:val="right"/>
              <w:rPr>
                <w:rFonts w:cs="Arial"/>
                <w:szCs w:val="24"/>
              </w:rPr>
            </w:pPr>
            <w:r w:rsidRPr="007D20E3">
              <w:rPr>
                <w:rFonts w:cs="Arial"/>
                <w:szCs w:val="24"/>
              </w:rPr>
              <w:t>106.700</w:t>
            </w:r>
          </w:p>
        </w:tc>
        <w:tc>
          <w:tcPr>
            <w:tcW w:w="1418" w:type="dxa"/>
            <w:shd w:val="clear" w:color="auto" w:fill="DBE5F1" w:themeFill="accent1" w:themeFillTint="33"/>
          </w:tcPr>
          <w:p w:rsidR="008F0AA1" w:rsidRPr="007D20E3" w:rsidRDefault="00943C19" w:rsidP="008F0AA1">
            <w:pPr>
              <w:jc w:val="right"/>
              <w:rPr>
                <w:rFonts w:cs="Arial"/>
                <w:szCs w:val="24"/>
              </w:rPr>
            </w:pPr>
            <w:r w:rsidRPr="007D20E3">
              <w:rPr>
                <w:rFonts w:cs="Arial"/>
                <w:szCs w:val="24"/>
              </w:rPr>
              <w:t>559.000</w:t>
            </w:r>
          </w:p>
        </w:tc>
        <w:tc>
          <w:tcPr>
            <w:tcW w:w="1417" w:type="dxa"/>
            <w:shd w:val="clear" w:color="auto" w:fill="DBE5F1" w:themeFill="accent1" w:themeFillTint="33"/>
            <w:noWrap/>
            <w:hideMark/>
          </w:tcPr>
          <w:p w:rsidR="008F0AA1" w:rsidRPr="007D20E3" w:rsidRDefault="00943C19" w:rsidP="009C7CFD">
            <w:pPr>
              <w:jc w:val="right"/>
              <w:rPr>
                <w:rFonts w:cs="Arial"/>
                <w:szCs w:val="24"/>
              </w:rPr>
            </w:pPr>
            <w:r>
              <w:rPr>
                <w:rFonts w:cs="Arial"/>
                <w:szCs w:val="24"/>
              </w:rPr>
              <w:t>1,054.6</w:t>
            </w:r>
            <w:r w:rsidRPr="007D20E3">
              <w:rPr>
                <w:rFonts w:cs="Arial"/>
                <w:szCs w:val="24"/>
              </w:rPr>
              <w:t>00</w:t>
            </w:r>
          </w:p>
        </w:tc>
      </w:tr>
      <w:tr w:rsidR="007F00BA" w:rsidTr="00E40734">
        <w:trPr>
          <w:trHeight w:val="300"/>
        </w:trPr>
        <w:tc>
          <w:tcPr>
            <w:tcW w:w="1555" w:type="dxa"/>
            <w:noWrap/>
            <w:hideMark/>
          </w:tcPr>
          <w:p w:rsidR="008F0AA1" w:rsidRPr="007D20E3" w:rsidRDefault="00943C19" w:rsidP="008F0AA1">
            <w:pPr>
              <w:rPr>
                <w:rFonts w:cs="Arial"/>
                <w:szCs w:val="24"/>
              </w:rPr>
            </w:pPr>
            <w:r w:rsidRPr="007D20E3">
              <w:rPr>
                <w:rFonts w:cs="Arial"/>
                <w:szCs w:val="24"/>
              </w:rPr>
              <w:t>New Borrowing</w:t>
            </w:r>
          </w:p>
        </w:tc>
        <w:tc>
          <w:tcPr>
            <w:tcW w:w="1134" w:type="dxa"/>
            <w:noWrap/>
            <w:hideMark/>
          </w:tcPr>
          <w:p w:rsidR="008F0AA1" w:rsidRPr="007D20E3" w:rsidRDefault="00943C19" w:rsidP="008F0AA1">
            <w:pPr>
              <w:jc w:val="right"/>
              <w:rPr>
                <w:rFonts w:cs="Arial"/>
                <w:szCs w:val="24"/>
              </w:rPr>
            </w:pPr>
            <w:r w:rsidRPr="007D20E3">
              <w:rPr>
                <w:rFonts w:cs="Arial"/>
                <w:szCs w:val="24"/>
              </w:rPr>
              <w:t>0.000</w:t>
            </w:r>
          </w:p>
        </w:tc>
        <w:tc>
          <w:tcPr>
            <w:tcW w:w="1134" w:type="dxa"/>
            <w:noWrap/>
            <w:hideMark/>
          </w:tcPr>
          <w:p w:rsidR="008F0AA1" w:rsidRPr="007D20E3" w:rsidRDefault="00943C19" w:rsidP="008F0AA1">
            <w:pPr>
              <w:jc w:val="right"/>
              <w:rPr>
                <w:rFonts w:cs="Arial"/>
                <w:szCs w:val="24"/>
              </w:rPr>
            </w:pPr>
            <w:r w:rsidRPr="007D20E3">
              <w:rPr>
                <w:rFonts w:cs="Arial"/>
                <w:szCs w:val="24"/>
              </w:rPr>
              <w:t>0.000</w:t>
            </w:r>
          </w:p>
        </w:tc>
        <w:tc>
          <w:tcPr>
            <w:tcW w:w="992" w:type="dxa"/>
            <w:noWrap/>
            <w:hideMark/>
          </w:tcPr>
          <w:p w:rsidR="008F0AA1" w:rsidRPr="007D20E3" w:rsidRDefault="00943C19" w:rsidP="008F0AA1">
            <w:pPr>
              <w:jc w:val="right"/>
              <w:rPr>
                <w:rFonts w:cs="Arial"/>
                <w:szCs w:val="24"/>
              </w:rPr>
            </w:pPr>
            <w:r w:rsidRPr="007D20E3">
              <w:rPr>
                <w:rFonts w:cs="Arial"/>
                <w:szCs w:val="24"/>
              </w:rPr>
              <w:t>0.000</w:t>
            </w:r>
          </w:p>
        </w:tc>
        <w:tc>
          <w:tcPr>
            <w:tcW w:w="1417" w:type="dxa"/>
            <w:noWrap/>
            <w:hideMark/>
          </w:tcPr>
          <w:p w:rsidR="008F0AA1" w:rsidRPr="007D20E3" w:rsidRDefault="00943C19" w:rsidP="008F0AA1">
            <w:pPr>
              <w:jc w:val="right"/>
              <w:rPr>
                <w:rFonts w:cs="Arial"/>
                <w:szCs w:val="24"/>
              </w:rPr>
            </w:pPr>
            <w:r w:rsidRPr="007D20E3">
              <w:rPr>
                <w:rFonts w:cs="Arial"/>
                <w:szCs w:val="24"/>
              </w:rPr>
              <w:t>173.300</w:t>
            </w:r>
          </w:p>
        </w:tc>
        <w:tc>
          <w:tcPr>
            <w:tcW w:w="1418" w:type="dxa"/>
          </w:tcPr>
          <w:p w:rsidR="008F0AA1" w:rsidRPr="007D20E3" w:rsidRDefault="00943C19" w:rsidP="008F0AA1">
            <w:pPr>
              <w:jc w:val="right"/>
              <w:rPr>
                <w:rFonts w:cs="Arial"/>
                <w:szCs w:val="24"/>
              </w:rPr>
            </w:pPr>
            <w:r w:rsidRPr="007D20E3">
              <w:rPr>
                <w:rFonts w:cs="Arial"/>
                <w:szCs w:val="24"/>
              </w:rPr>
              <w:t>194.000</w:t>
            </w:r>
          </w:p>
        </w:tc>
        <w:tc>
          <w:tcPr>
            <w:tcW w:w="1417" w:type="dxa"/>
            <w:noWrap/>
            <w:hideMark/>
          </w:tcPr>
          <w:p w:rsidR="008F0AA1" w:rsidRPr="007D20E3" w:rsidRDefault="00943C19" w:rsidP="008F0AA1">
            <w:pPr>
              <w:jc w:val="right"/>
              <w:rPr>
                <w:rFonts w:cs="Arial"/>
                <w:szCs w:val="24"/>
              </w:rPr>
            </w:pPr>
            <w:r w:rsidRPr="007D20E3">
              <w:rPr>
                <w:rFonts w:cs="Arial"/>
                <w:szCs w:val="24"/>
              </w:rPr>
              <w:t>367.300</w:t>
            </w:r>
          </w:p>
        </w:tc>
      </w:tr>
      <w:tr w:rsidR="007F00BA" w:rsidTr="00E40734">
        <w:trPr>
          <w:trHeight w:val="300"/>
        </w:trPr>
        <w:tc>
          <w:tcPr>
            <w:tcW w:w="1555" w:type="dxa"/>
            <w:noWrap/>
            <w:hideMark/>
          </w:tcPr>
          <w:p w:rsidR="008F0AA1" w:rsidRPr="007D20E3" w:rsidRDefault="00943C19" w:rsidP="008F0AA1">
            <w:pPr>
              <w:rPr>
                <w:rFonts w:cs="Arial"/>
                <w:szCs w:val="24"/>
              </w:rPr>
            </w:pPr>
            <w:r w:rsidRPr="007D20E3">
              <w:rPr>
                <w:rFonts w:cs="Arial"/>
                <w:szCs w:val="24"/>
              </w:rPr>
              <w:t>Maturities</w:t>
            </w:r>
          </w:p>
        </w:tc>
        <w:tc>
          <w:tcPr>
            <w:tcW w:w="1134" w:type="dxa"/>
            <w:noWrap/>
            <w:hideMark/>
          </w:tcPr>
          <w:p w:rsidR="008F0AA1" w:rsidRPr="007D20E3" w:rsidRDefault="00943C19" w:rsidP="008F0AA1">
            <w:pPr>
              <w:jc w:val="right"/>
              <w:rPr>
                <w:rFonts w:cs="Arial"/>
                <w:szCs w:val="24"/>
              </w:rPr>
            </w:pPr>
            <w:r w:rsidRPr="007D20E3">
              <w:rPr>
                <w:rFonts w:cs="Arial"/>
                <w:szCs w:val="24"/>
              </w:rPr>
              <w:t>0.000</w:t>
            </w:r>
          </w:p>
        </w:tc>
        <w:tc>
          <w:tcPr>
            <w:tcW w:w="1134" w:type="dxa"/>
            <w:noWrap/>
            <w:hideMark/>
          </w:tcPr>
          <w:p w:rsidR="008F0AA1" w:rsidRPr="007D20E3" w:rsidRDefault="00943C19" w:rsidP="008F0AA1">
            <w:pPr>
              <w:jc w:val="right"/>
              <w:rPr>
                <w:rFonts w:cs="Arial"/>
                <w:szCs w:val="24"/>
              </w:rPr>
            </w:pPr>
            <w:r w:rsidRPr="007D20E3">
              <w:rPr>
                <w:rFonts w:cs="Arial"/>
                <w:szCs w:val="24"/>
              </w:rPr>
              <w:t>0.000</w:t>
            </w:r>
          </w:p>
        </w:tc>
        <w:tc>
          <w:tcPr>
            <w:tcW w:w="992" w:type="dxa"/>
            <w:noWrap/>
            <w:hideMark/>
          </w:tcPr>
          <w:p w:rsidR="008F0AA1" w:rsidRPr="007D20E3" w:rsidRDefault="00943C19" w:rsidP="008F0AA1">
            <w:pPr>
              <w:jc w:val="right"/>
              <w:rPr>
                <w:rFonts w:cs="Arial"/>
                <w:szCs w:val="24"/>
              </w:rPr>
            </w:pPr>
            <w:r w:rsidRPr="007D20E3">
              <w:rPr>
                <w:rFonts w:cs="Arial"/>
                <w:szCs w:val="24"/>
              </w:rPr>
              <w:t>0.000</w:t>
            </w:r>
          </w:p>
        </w:tc>
        <w:tc>
          <w:tcPr>
            <w:tcW w:w="1417" w:type="dxa"/>
            <w:noWrap/>
            <w:hideMark/>
          </w:tcPr>
          <w:p w:rsidR="008F0AA1" w:rsidRPr="007D20E3" w:rsidRDefault="00943C19" w:rsidP="008F0AA1">
            <w:pPr>
              <w:jc w:val="right"/>
              <w:rPr>
                <w:rFonts w:cs="Arial"/>
                <w:szCs w:val="24"/>
              </w:rPr>
            </w:pPr>
            <w:r w:rsidRPr="007D20E3">
              <w:rPr>
                <w:rFonts w:cs="Arial"/>
                <w:szCs w:val="24"/>
              </w:rPr>
              <w:t>-200.800</w:t>
            </w:r>
          </w:p>
        </w:tc>
        <w:tc>
          <w:tcPr>
            <w:tcW w:w="1418" w:type="dxa"/>
          </w:tcPr>
          <w:p w:rsidR="008F0AA1" w:rsidRPr="007D20E3" w:rsidRDefault="00943C19" w:rsidP="008F0AA1">
            <w:pPr>
              <w:jc w:val="right"/>
              <w:rPr>
                <w:rFonts w:cs="Arial"/>
                <w:szCs w:val="24"/>
              </w:rPr>
            </w:pPr>
            <w:r w:rsidRPr="007D20E3">
              <w:rPr>
                <w:rFonts w:cs="Arial"/>
                <w:szCs w:val="24"/>
              </w:rPr>
              <w:t>-193.500</w:t>
            </w:r>
          </w:p>
        </w:tc>
        <w:tc>
          <w:tcPr>
            <w:tcW w:w="1417" w:type="dxa"/>
            <w:noWrap/>
            <w:hideMark/>
          </w:tcPr>
          <w:p w:rsidR="008F0AA1" w:rsidRPr="007D20E3" w:rsidRDefault="00943C19" w:rsidP="008F0AA1">
            <w:pPr>
              <w:jc w:val="right"/>
              <w:rPr>
                <w:rFonts w:cs="Arial"/>
                <w:szCs w:val="24"/>
              </w:rPr>
            </w:pPr>
            <w:r w:rsidRPr="007D20E3">
              <w:rPr>
                <w:rFonts w:cs="Arial"/>
                <w:szCs w:val="24"/>
              </w:rPr>
              <w:t>-394.300</w:t>
            </w:r>
          </w:p>
        </w:tc>
      </w:tr>
      <w:tr w:rsidR="007F00BA" w:rsidTr="00E40734">
        <w:trPr>
          <w:trHeight w:val="300"/>
        </w:trPr>
        <w:tc>
          <w:tcPr>
            <w:tcW w:w="1555" w:type="dxa"/>
            <w:shd w:val="clear" w:color="auto" w:fill="DBE5F1" w:themeFill="accent1" w:themeFillTint="33"/>
            <w:noWrap/>
            <w:hideMark/>
          </w:tcPr>
          <w:p w:rsidR="008F0AA1" w:rsidRPr="007D20E3" w:rsidRDefault="00943C19" w:rsidP="008F0AA1">
            <w:pPr>
              <w:rPr>
                <w:rFonts w:cs="Arial"/>
                <w:szCs w:val="24"/>
              </w:rPr>
            </w:pPr>
            <w:r w:rsidRPr="007D20E3">
              <w:rPr>
                <w:rFonts w:cs="Arial"/>
                <w:szCs w:val="24"/>
              </w:rPr>
              <w:t xml:space="preserve">Balance 30 </w:t>
            </w:r>
            <w:r w:rsidRPr="007D20E3">
              <w:rPr>
                <w:rFonts w:cs="Arial"/>
                <w:szCs w:val="24"/>
              </w:rPr>
              <w:t>November 2017</w:t>
            </w:r>
          </w:p>
        </w:tc>
        <w:tc>
          <w:tcPr>
            <w:tcW w:w="1134" w:type="dxa"/>
            <w:shd w:val="clear" w:color="auto" w:fill="DBE5F1" w:themeFill="accent1" w:themeFillTint="33"/>
            <w:noWrap/>
            <w:hideMark/>
          </w:tcPr>
          <w:p w:rsidR="008F0AA1" w:rsidRPr="007D20E3" w:rsidRDefault="00943C19" w:rsidP="008F0AA1">
            <w:pPr>
              <w:jc w:val="right"/>
              <w:rPr>
                <w:rFonts w:cs="Arial"/>
                <w:szCs w:val="24"/>
              </w:rPr>
            </w:pPr>
            <w:r w:rsidRPr="007D20E3">
              <w:rPr>
                <w:rFonts w:cs="Arial"/>
                <w:szCs w:val="24"/>
              </w:rPr>
              <w:t>213.100</w:t>
            </w:r>
          </w:p>
        </w:tc>
        <w:tc>
          <w:tcPr>
            <w:tcW w:w="1134" w:type="dxa"/>
            <w:shd w:val="clear" w:color="auto" w:fill="DBE5F1" w:themeFill="accent1" w:themeFillTint="33"/>
            <w:noWrap/>
            <w:hideMark/>
          </w:tcPr>
          <w:p w:rsidR="008F0AA1" w:rsidRPr="007D20E3" w:rsidRDefault="00943C19" w:rsidP="008F0AA1">
            <w:pPr>
              <w:jc w:val="right"/>
              <w:rPr>
                <w:rFonts w:cs="Arial"/>
                <w:szCs w:val="24"/>
              </w:rPr>
            </w:pPr>
            <w:r w:rsidRPr="007D20E3">
              <w:rPr>
                <w:rFonts w:cs="Arial"/>
                <w:szCs w:val="24"/>
              </w:rPr>
              <w:t>125.800</w:t>
            </w:r>
          </w:p>
        </w:tc>
        <w:tc>
          <w:tcPr>
            <w:tcW w:w="992" w:type="dxa"/>
            <w:shd w:val="clear" w:color="auto" w:fill="DBE5F1" w:themeFill="accent1" w:themeFillTint="33"/>
            <w:noWrap/>
            <w:hideMark/>
          </w:tcPr>
          <w:p w:rsidR="008F0AA1" w:rsidRPr="007D20E3" w:rsidRDefault="00943C19" w:rsidP="009C7CFD">
            <w:pPr>
              <w:jc w:val="right"/>
              <w:rPr>
                <w:rFonts w:cs="Arial"/>
                <w:szCs w:val="24"/>
              </w:rPr>
            </w:pPr>
            <w:r w:rsidRPr="007D20E3">
              <w:rPr>
                <w:rFonts w:cs="Arial"/>
                <w:szCs w:val="24"/>
              </w:rPr>
              <w:t>5</w:t>
            </w:r>
            <w:r>
              <w:rPr>
                <w:rFonts w:cs="Arial"/>
                <w:szCs w:val="24"/>
              </w:rPr>
              <w:t>0</w:t>
            </w:r>
            <w:r w:rsidRPr="007D20E3">
              <w:rPr>
                <w:rFonts w:cs="Arial"/>
                <w:szCs w:val="24"/>
              </w:rPr>
              <w:t>.</w:t>
            </w:r>
            <w:r>
              <w:rPr>
                <w:rFonts w:cs="Arial"/>
                <w:szCs w:val="24"/>
              </w:rPr>
              <w:t>0</w:t>
            </w:r>
            <w:r w:rsidRPr="007D20E3">
              <w:rPr>
                <w:rFonts w:cs="Arial"/>
                <w:szCs w:val="24"/>
              </w:rPr>
              <w:t>00</w:t>
            </w:r>
          </w:p>
        </w:tc>
        <w:tc>
          <w:tcPr>
            <w:tcW w:w="1417" w:type="dxa"/>
            <w:shd w:val="clear" w:color="auto" w:fill="DBE5F1" w:themeFill="accent1" w:themeFillTint="33"/>
            <w:noWrap/>
            <w:hideMark/>
          </w:tcPr>
          <w:p w:rsidR="008F0AA1" w:rsidRPr="007D20E3" w:rsidRDefault="00943C19" w:rsidP="008F0AA1">
            <w:pPr>
              <w:jc w:val="right"/>
              <w:rPr>
                <w:rFonts w:cs="Arial"/>
                <w:szCs w:val="24"/>
              </w:rPr>
            </w:pPr>
            <w:r>
              <w:rPr>
                <w:rFonts w:cs="Arial"/>
                <w:szCs w:val="24"/>
              </w:rPr>
              <w:t>79.2</w:t>
            </w:r>
            <w:r w:rsidRPr="007D20E3">
              <w:rPr>
                <w:rFonts w:cs="Arial"/>
                <w:szCs w:val="24"/>
              </w:rPr>
              <w:t>00</w:t>
            </w:r>
          </w:p>
        </w:tc>
        <w:tc>
          <w:tcPr>
            <w:tcW w:w="1418" w:type="dxa"/>
            <w:shd w:val="clear" w:color="auto" w:fill="DBE5F1" w:themeFill="accent1" w:themeFillTint="33"/>
          </w:tcPr>
          <w:p w:rsidR="008F0AA1" w:rsidRPr="007D20E3" w:rsidRDefault="00943C19" w:rsidP="008F0AA1">
            <w:pPr>
              <w:jc w:val="right"/>
              <w:rPr>
                <w:rFonts w:cs="Arial"/>
                <w:szCs w:val="24"/>
              </w:rPr>
            </w:pPr>
            <w:r w:rsidRPr="007D20E3">
              <w:rPr>
                <w:rFonts w:cs="Arial"/>
                <w:szCs w:val="24"/>
              </w:rPr>
              <w:t>559.500</w:t>
            </w:r>
          </w:p>
        </w:tc>
        <w:tc>
          <w:tcPr>
            <w:tcW w:w="1417" w:type="dxa"/>
            <w:shd w:val="clear" w:color="auto" w:fill="DBE5F1" w:themeFill="accent1" w:themeFillTint="33"/>
            <w:noWrap/>
            <w:hideMark/>
          </w:tcPr>
          <w:p w:rsidR="008F0AA1" w:rsidRPr="007D20E3" w:rsidRDefault="00943C19" w:rsidP="009C7CFD">
            <w:pPr>
              <w:jc w:val="right"/>
              <w:rPr>
                <w:rFonts w:cs="Arial"/>
                <w:szCs w:val="24"/>
              </w:rPr>
            </w:pPr>
            <w:r>
              <w:rPr>
                <w:rFonts w:cs="Arial"/>
                <w:szCs w:val="24"/>
              </w:rPr>
              <w:t>1,027.6</w:t>
            </w:r>
            <w:r w:rsidRPr="007D20E3">
              <w:rPr>
                <w:rFonts w:cs="Arial"/>
                <w:szCs w:val="24"/>
              </w:rPr>
              <w:t>00</w:t>
            </w:r>
          </w:p>
        </w:tc>
      </w:tr>
      <w:tr w:rsidR="007F00BA" w:rsidTr="00E40734">
        <w:trPr>
          <w:trHeight w:val="300"/>
        </w:trPr>
        <w:tc>
          <w:tcPr>
            <w:tcW w:w="1555" w:type="dxa"/>
            <w:noWrap/>
            <w:hideMark/>
          </w:tcPr>
          <w:p w:rsidR="008F0AA1" w:rsidRPr="007D20E3" w:rsidRDefault="00943C19" w:rsidP="008F0AA1">
            <w:pPr>
              <w:rPr>
                <w:rFonts w:cs="Arial"/>
                <w:szCs w:val="24"/>
              </w:rPr>
            </w:pPr>
            <w:r w:rsidRPr="007D20E3">
              <w:rPr>
                <w:rFonts w:cs="Arial"/>
                <w:szCs w:val="24"/>
              </w:rPr>
              <w:t xml:space="preserve"> PFI Liability</w:t>
            </w:r>
          </w:p>
        </w:tc>
        <w:tc>
          <w:tcPr>
            <w:tcW w:w="1134" w:type="dxa"/>
            <w:noWrap/>
            <w:hideMark/>
          </w:tcPr>
          <w:p w:rsidR="008F0AA1" w:rsidRPr="007D20E3" w:rsidRDefault="00943C19" w:rsidP="008F0AA1">
            <w:pPr>
              <w:jc w:val="right"/>
              <w:rPr>
                <w:rFonts w:cs="Arial"/>
                <w:szCs w:val="24"/>
              </w:rPr>
            </w:pPr>
            <w:r w:rsidRPr="007D20E3">
              <w:rPr>
                <w:rFonts w:cs="Arial"/>
                <w:szCs w:val="24"/>
              </w:rPr>
              <w:t> </w:t>
            </w:r>
          </w:p>
        </w:tc>
        <w:tc>
          <w:tcPr>
            <w:tcW w:w="1134" w:type="dxa"/>
            <w:noWrap/>
            <w:hideMark/>
          </w:tcPr>
          <w:p w:rsidR="008F0AA1" w:rsidRPr="007D20E3" w:rsidRDefault="00943C19" w:rsidP="008F0AA1">
            <w:pPr>
              <w:jc w:val="right"/>
              <w:rPr>
                <w:rFonts w:cs="Arial"/>
                <w:szCs w:val="24"/>
              </w:rPr>
            </w:pPr>
            <w:r w:rsidRPr="007D20E3">
              <w:rPr>
                <w:rFonts w:cs="Arial"/>
                <w:szCs w:val="24"/>
              </w:rPr>
              <w:t> </w:t>
            </w:r>
          </w:p>
        </w:tc>
        <w:tc>
          <w:tcPr>
            <w:tcW w:w="992" w:type="dxa"/>
            <w:noWrap/>
            <w:hideMark/>
          </w:tcPr>
          <w:p w:rsidR="008F0AA1" w:rsidRPr="007D20E3" w:rsidRDefault="00943C19" w:rsidP="008F0AA1">
            <w:pPr>
              <w:jc w:val="right"/>
              <w:rPr>
                <w:rFonts w:cs="Arial"/>
                <w:szCs w:val="24"/>
              </w:rPr>
            </w:pPr>
            <w:r w:rsidRPr="007D20E3">
              <w:rPr>
                <w:rFonts w:cs="Arial"/>
                <w:szCs w:val="24"/>
              </w:rPr>
              <w:t> </w:t>
            </w:r>
          </w:p>
        </w:tc>
        <w:tc>
          <w:tcPr>
            <w:tcW w:w="1417" w:type="dxa"/>
            <w:noWrap/>
            <w:hideMark/>
          </w:tcPr>
          <w:p w:rsidR="008F0AA1" w:rsidRPr="007D20E3" w:rsidRDefault="00943C19" w:rsidP="008F0AA1">
            <w:pPr>
              <w:jc w:val="right"/>
              <w:rPr>
                <w:rFonts w:cs="Arial"/>
                <w:szCs w:val="24"/>
              </w:rPr>
            </w:pPr>
            <w:r w:rsidRPr="007D20E3">
              <w:rPr>
                <w:rFonts w:cs="Arial"/>
                <w:szCs w:val="24"/>
              </w:rPr>
              <w:t> </w:t>
            </w:r>
          </w:p>
        </w:tc>
        <w:tc>
          <w:tcPr>
            <w:tcW w:w="1418" w:type="dxa"/>
          </w:tcPr>
          <w:p w:rsidR="008F0AA1" w:rsidRPr="007D20E3" w:rsidRDefault="00943C19" w:rsidP="008F0AA1">
            <w:pPr>
              <w:jc w:val="right"/>
              <w:rPr>
                <w:rFonts w:cs="Arial"/>
                <w:szCs w:val="24"/>
              </w:rPr>
            </w:pPr>
            <w:r w:rsidRPr="007D20E3">
              <w:rPr>
                <w:rFonts w:cs="Arial"/>
                <w:szCs w:val="24"/>
              </w:rPr>
              <w:t> </w:t>
            </w:r>
          </w:p>
        </w:tc>
        <w:tc>
          <w:tcPr>
            <w:tcW w:w="1417" w:type="dxa"/>
            <w:noWrap/>
            <w:hideMark/>
          </w:tcPr>
          <w:p w:rsidR="008F0AA1" w:rsidRPr="007D20E3" w:rsidRDefault="00943C19" w:rsidP="008F0AA1">
            <w:pPr>
              <w:jc w:val="right"/>
              <w:rPr>
                <w:rFonts w:cs="Arial"/>
                <w:szCs w:val="24"/>
              </w:rPr>
            </w:pPr>
            <w:r w:rsidRPr="007D20E3">
              <w:rPr>
                <w:rFonts w:cs="Arial"/>
                <w:szCs w:val="24"/>
              </w:rPr>
              <w:t>162.000</w:t>
            </w:r>
          </w:p>
        </w:tc>
      </w:tr>
      <w:tr w:rsidR="007F00BA" w:rsidTr="00E40734">
        <w:trPr>
          <w:trHeight w:val="300"/>
        </w:trPr>
        <w:tc>
          <w:tcPr>
            <w:tcW w:w="1555" w:type="dxa"/>
            <w:shd w:val="clear" w:color="auto" w:fill="DBE5F1" w:themeFill="accent1" w:themeFillTint="33"/>
            <w:noWrap/>
            <w:hideMark/>
          </w:tcPr>
          <w:p w:rsidR="008F0AA1" w:rsidRPr="007D20E3" w:rsidRDefault="00943C19" w:rsidP="008F0AA1">
            <w:pPr>
              <w:rPr>
                <w:rFonts w:cs="Arial"/>
                <w:szCs w:val="24"/>
              </w:rPr>
            </w:pPr>
            <w:r w:rsidRPr="007D20E3">
              <w:rPr>
                <w:rFonts w:cs="Arial"/>
                <w:szCs w:val="24"/>
              </w:rPr>
              <w:t>Total Borrowing</w:t>
            </w:r>
          </w:p>
        </w:tc>
        <w:tc>
          <w:tcPr>
            <w:tcW w:w="1134" w:type="dxa"/>
            <w:shd w:val="clear" w:color="auto" w:fill="DBE5F1" w:themeFill="accent1" w:themeFillTint="33"/>
            <w:noWrap/>
            <w:hideMark/>
          </w:tcPr>
          <w:p w:rsidR="008F0AA1" w:rsidRPr="007D20E3" w:rsidRDefault="00943C19" w:rsidP="008F0AA1">
            <w:pPr>
              <w:jc w:val="right"/>
              <w:rPr>
                <w:rFonts w:cs="Arial"/>
                <w:szCs w:val="24"/>
              </w:rPr>
            </w:pPr>
            <w:r w:rsidRPr="007D20E3">
              <w:rPr>
                <w:rFonts w:cs="Arial"/>
                <w:szCs w:val="24"/>
              </w:rPr>
              <w:t> </w:t>
            </w:r>
          </w:p>
        </w:tc>
        <w:tc>
          <w:tcPr>
            <w:tcW w:w="1134" w:type="dxa"/>
            <w:shd w:val="clear" w:color="auto" w:fill="DBE5F1" w:themeFill="accent1" w:themeFillTint="33"/>
            <w:noWrap/>
            <w:hideMark/>
          </w:tcPr>
          <w:p w:rsidR="008F0AA1" w:rsidRPr="007D20E3" w:rsidRDefault="00943C19" w:rsidP="008F0AA1">
            <w:pPr>
              <w:jc w:val="right"/>
              <w:rPr>
                <w:rFonts w:cs="Arial"/>
                <w:szCs w:val="24"/>
              </w:rPr>
            </w:pPr>
            <w:r w:rsidRPr="007D20E3">
              <w:rPr>
                <w:rFonts w:cs="Arial"/>
                <w:szCs w:val="24"/>
              </w:rPr>
              <w:t> </w:t>
            </w:r>
          </w:p>
        </w:tc>
        <w:tc>
          <w:tcPr>
            <w:tcW w:w="992" w:type="dxa"/>
            <w:shd w:val="clear" w:color="auto" w:fill="DBE5F1" w:themeFill="accent1" w:themeFillTint="33"/>
            <w:noWrap/>
            <w:hideMark/>
          </w:tcPr>
          <w:p w:rsidR="008F0AA1" w:rsidRPr="007D20E3" w:rsidRDefault="00943C19" w:rsidP="008F0AA1">
            <w:pPr>
              <w:jc w:val="right"/>
              <w:rPr>
                <w:rFonts w:cs="Arial"/>
                <w:szCs w:val="24"/>
              </w:rPr>
            </w:pPr>
            <w:r w:rsidRPr="007D20E3">
              <w:rPr>
                <w:rFonts w:cs="Arial"/>
                <w:szCs w:val="24"/>
              </w:rPr>
              <w:t> </w:t>
            </w:r>
          </w:p>
        </w:tc>
        <w:tc>
          <w:tcPr>
            <w:tcW w:w="1417" w:type="dxa"/>
            <w:shd w:val="clear" w:color="auto" w:fill="DBE5F1" w:themeFill="accent1" w:themeFillTint="33"/>
            <w:noWrap/>
            <w:hideMark/>
          </w:tcPr>
          <w:p w:rsidR="008F0AA1" w:rsidRPr="007D20E3" w:rsidRDefault="00943C19" w:rsidP="008F0AA1">
            <w:pPr>
              <w:jc w:val="right"/>
              <w:rPr>
                <w:rFonts w:cs="Arial"/>
                <w:szCs w:val="24"/>
              </w:rPr>
            </w:pPr>
            <w:r w:rsidRPr="007D20E3">
              <w:rPr>
                <w:rFonts w:cs="Arial"/>
                <w:szCs w:val="24"/>
              </w:rPr>
              <w:t> </w:t>
            </w:r>
          </w:p>
        </w:tc>
        <w:tc>
          <w:tcPr>
            <w:tcW w:w="1418" w:type="dxa"/>
            <w:shd w:val="clear" w:color="auto" w:fill="DBE5F1" w:themeFill="accent1" w:themeFillTint="33"/>
          </w:tcPr>
          <w:p w:rsidR="008F0AA1" w:rsidRPr="007D20E3" w:rsidRDefault="00943C19" w:rsidP="008F0AA1">
            <w:pPr>
              <w:jc w:val="right"/>
              <w:rPr>
                <w:rFonts w:cs="Arial"/>
                <w:szCs w:val="24"/>
              </w:rPr>
            </w:pPr>
            <w:r w:rsidRPr="007D20E3">
              <w:rPr>
                <w:rFonts w:cs="Arial"/>
                <w:szCs w:val="24"/>
              </w:rPr>
              <w:t> </w:t>
            </w:r>
          </w:p>
        </w:tc>
        <w:tc>
          <w:tcPr>
            <w:tcW w:w="1417" w:type="dxa"/>
            <w:shd w:val="clear" w:color="auto" w:fill="DBE5F1" w:themeFill="accent1" w:themeFillTint="33"/>
            <w:noWrap/>
            <w:hideMark/>
          </w:tcPr>
          <w:p w:rsidR="008F0AA1" w:rsidRPr="007D20E3" w:rsidRDefault="00943C19" w:rsidP="009C7CFD">
            <w:pPr>
              <w:jc w:val="right"/>
              <w:rPr>
                <w:rFonts w:cs="Arial"/>
                <w:szCs w:val="24"/>
              </w:rPr>
            </w:pPr>
            <w:r>
              <w:rPr>
                <w:rFonts w:cs="Arial"/>
                <w:szCs w:val="24"/>
              </w:rPr>
              <w:t>1,189.6</w:t>
            </w:r>
            <w:r w:rsidRPr="007D20E3">
              <w:rPr>
                <w:rFonts w:cs="Arial"/>
                <w:szCs w:val="24"/>
              </w:rPr>
              <w:t>00</w:t>
            </w:r>
          </w:p>
        </w:tc>
      </w:tr>
    </w:tbl>
    <w:p w:rsidR="008F0AA1" w:rsidRDefault="00943C19" w:rsidP="008F0AA1">
      <w:pPr>
        <w:jc w:val="both"/>
        <w:rPr>
          <w:rFonts w:cs="Arial"/>
          <w:szCs w:val="24"/>
        </w:rPr>
      </w:pPr>
    </w:p>
    <w:p w:rsidR="008F0AA1" w:rsidRDefault="00943C19" w:rsidP="008F0AA1">
      <w:pPr>
        <w:jc w:val="both"/>
        <w:rPr>
          <w:rFonts w:cs="Arial"/>
          <w:color w:val="000000"/>
          <w:szCs w:val="24"/>
          <w:highlight w:val="green"/>
        </w:rPr>
      </w:pPr>
      <w:r w:rsidRPr="00A32108">
        <w:rPr>
          <w:rFonts w:cs="Arial"/>
          <w:color w:val="000000"/>
          <w:szCs w:val="24"/>
        </w:rPr>
        <w:t>Total borrowing now stands at £1.</w:t>
      </w:r>
      <w:r>
        <w:rPr>
          <w:rFonts w:cs="Arial"/>
          <w:color w:val="000000"/>
          <w:szCs w:val="24"/>
        </w:rPr>
        <w:t>19</w:t>
      </w:r>
      <w:r w:rsidRPr="00A32108">
        <w:rPr>
          <w:rFonts w:cs="Arial"/>
          <w:color w:val="000000"/>
          <w:szCs w:val="24"/>
        </w:rPr>
        <w:t>bn including the financing of £162m of assets through remaining</w:t>
      </w:r>
      <w:r>
        <w:rPr>
          <w:rFonts w:cs="Arial"/>
          <w:color w:val="000000"/>
          <w:szCs w:val="24"/>
        </w:rPr>
        <w:t xml:space="preserve"> </w:t>
      </w:r>
      <w:r w:rsidRPr="007D20E3">
        <w:rPr>
          <w:rFonts w:cs="Arial"/>
          <w:szCs w:val="24"/>
        </w:rPr>
        <w:t xml:space="preserve">Public Finance </w:t>
      </w:r>
      <w:r w:rsidRPr="007D20E3">
        <w:rPr>
          <w:rFonts w:cs="Arial"/>
          <w:szCs w:val="24"/>
        </w:rPr>
        <w:t>Initiative</w:t>
      </w:r>
      <w:r w:rsidRPr="00A32108">
        <w:rPr>
          <w:rFonts w:cs="Arial"/>
          <w:color w:val="000000"/>
          <w:szCs w:val="24"/>
        </w:rPr>
        <w:t xml:space="preserve"> </w:t>
      </w:r>
      <w:r>
        <w:rPr>
          <w:rFonts w:cs="Arial"/>
          <w:color w:val="000000"/>
          <w:szCs w:val="24"/>
        </w:rPr>
        <w:t>(</w:t>
      </w:r>
      <w:r w:rsidRPr="00A32108">
        <w:rPr>
          <w:rFonts w:cs="Arial"/>
          <w:color w:val="000000"/>
          <w:szCs w:val="24"/>
        </w:rPr>
        <w:t>PFI</w:t>
      </w:r>
      <w:r>
        <w:rPr>
          <w:rFonts w:cs="Arial"/>
          <w:color w:val="000000"/>
          <w:szCs w:val="24"/>
        </w:rPr>
        <w:t>)</w:t>
      </w:r>
      <w:r w:rsidRPr="00A32108">
        <w:rPr>
          <w:rFonts w:cs="Arial"/>
          <w:color w:val="000000"/>
          <w:szCs w:val="24"/>
        </w:rPr>
        <w:t xml:space="preserve"> schemes. The outstanding borrowing has </w:t>
      </w:r>
      <w:r>
        <w:rPr>
          <w:rFonts w:cs="Arial"/>
          <w:color w:val="000000"/>
          <w:szCs w:val="24"/>
        </w:rPr>
        <w:t>reduced</w:t>
      </w:r>
      <w:r w:rsidRPr="00A32108">
        <w:rPr>
          <w:rFonts w:cs="Arial"/>
          <w:color w:val="000000"/>
          <w:szCs w:val="24"/>
        </w:rPr>
        <w:t xml:space="preserve"> by £</w:t>
      </w:r>
      <w:r>
        <w:rPr>
          <w:rFonts w:cs="Arial"/>
          <w:color w:val="000000"/>
          <w:szCs w:val="24"/>
        </w:rPr>
        <w:t>27m</w:t>
      </w:r>
      <w:r w:rsidRPr="00A32108">
        <w:rPr>
          <w:rFonts w:cs="Arial"/>
          <w:color w:val="000000"/>
          <w:szCs w:val="24"/>
        </w:rPr>
        <w:t xml:space="preserve"> in the period. This</w:t>
      </w:r>
      <w:r>
        <w:rPr>
          <w:rFonts w:cs="Arial"/>
          <w:color w:val="000000"/>
          <w:szCs w:val="24"/>
        </w:rPr>
        <w:t xml:space="preserve"> de</w:t>
      </w:r>
      <w:r w:rsidRPr="00A32108">
        <w:rPr>
          <w:rFonts w:cs="Arial"/>
          <w:color w:val="000000"/>
          <w:szCs w:val="24"/>
        </w:rPr>
        <w:t xml:space="preserve">crease is due to the </w:t>
      </w:r>
      <w:r>
        <w:rPr>
          <w:rFonts w:cs="Arial"/>
          <w:color w:val="000000"/>
          <w:szCs w:val="24"/>
        </w:rPr>
        <w:t>reduction</w:t>
      </w:r>
      <w:r w:rsidRPr="00A32108">
        <w:rPr>
          <w:rFonts w:cs="Arial"/>
          <w:color w:val="000000"/>
          <w:szCs w:val="24"/>
        </w:rPr>
        <w:t xml:space="preserve"> in shared investment scheme balances. </w:t>
      </w:r>
    </w:p>
    <w:p w:rsidR="008F0AA1" w:rsidRPr="00763986" w:rsidRDefault="00943C19" w:rsidP="008F0AA1">
      <w:pPr>
        <w:jc w:val="both"/>
        <w:rPr>
          <w:rFonts w:cs="Arial"/>
          <w:color w:val="000000"/>
          <w:szCs w:val="24"/>
          <w:highlight w:val="green"/>
        </w:rPr>
      </w:pPr>
    </w:p>
    <w:p w:rsidR="008F0AA1" w:rsidRDefault="00943C19" w:rsidP="008F0AA1">
      <w:pPr>
        <w:jc w:val="both"/>
        <w:rPr>
          <w:rFonts w:cs="Arial"/>
        </w:rPr>
      </w:pPr>
      <w:r w:rsidRPr="00A32108">
        <w:rPr>
          <w:rFonts w:cs="Arial"/>
          <w:szCs w:val="24"/>
        </w:rPr>
        <w:t>The graph below shows the level of debt for the current financial year compared with the pr</w:t>
      </w:r>
      <w:r w:rsidRPr="00A32108">
        <w:rPr>
          <w:rFonts w:cs="Arial"/>
          <w:szCs w:val="24"/>
        </w:rPr>
        <w:t>udential indicator operational and authorised boundaries. The</w:t>
      </w:r>
      <w:r w:rsidRPr="00A32108">
        <w:rPr>
          <w:rFonts w:cs="Arial"/>
        </w:rPr>
        <w:t xml:space="preserve"> debt shown from </w:t>
      </w:r>
      <w:r>
        <w:rPr>
          <w:rFonts w:cs="Arial"/>
        </w:rPr>
        <w:t>30 November 2017</w:t>
      </w:r>
      <w:r w:rsidRPr="00A32108">
        <w:rPr>
          <w:rFonts w:cs="Arial"/>
        </w:rPr>
        <w:t xml:space="preserve"> represents the debt position if no maturing debt was replaced rather than an estimate of the </w:t>
      </w:r>
      <w:r w:rsidRPr="006C3D60">
        <w:rPr>
          <w:rFonts w:cs="Arial"/>
        </w:rPr>
        <w:t>expected position.</w:t>
      </w:r>
    </w:p>
    <w:p w:rsidR="008F0AA1" w:rsidRPr="003719B4" w:rsidRDefault="00943C19" w:rsidP="008F0AA1">
      <w:pPr>
        <w:jc w:val="both"/>
        <w:rPr>
          <w:rFonts w:cs="Arial"/>
        </w:rPr>
      </w:pPr>
    </w:p>
    <w:p w:rsidR="008F0AA1" w:rsidRDefault="00943C19" w:rsidP="008F0AA1">
      <w:pPr>
        <w:jc w:val="both"/>
        <w:rPr>
          <w:rFonts w:cs="Arial"/>
          <w:highlight w:val="yellow"/>
        </w:rPr>
      </w:pPr>
      <w:r>
        <w:rPr>
          <w:noProof/>
        </w:rPr>
        <w:drawing>
          <wp:inline distT="0" distB="0" distL="0" distR="0">
            <wp:extent cx="5638800" cy="27717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F0AA1" w:rsidRPr="005C7428" w:rsidRDefault="00943C19" w:rsidP="008F0AA1">
      <w:pPr>
        <w:jc w:val="both"/>
        <w:rPr>
          <w:rFonts w:cs="Arial"/>
          <w:highlight w:val="yellow"/>
        </w:rPr>
      </w:pPr>
    </w:p>
    <w:p w:rsidR="008F0AA1" w:rsidRPr="00816421" w:rsidRDefault="00943C19" w:rsidP="008F0AA1">
      <w:pPr>
        <w:jc w:val="both"/>
        <w:rPr>
          <w:rFonts w:cs="Arial"/>
        </w:rPr>
      </w:pPr>
      <w:r w:rsidRPr="00816421">
        <w:rPr>
          <w:rFonts w:cs="Arial"/>
        </w:rPr>
        <w:t xml:space="preserve">The </w:t>
      </w:r>
      <w:r>
        <w:rPr>
          <w:rFonts w:cs="Arial"/>
        </w:rPr>
        <w:t>'</w:t>
      </w:r>
      <w:r w:rsidRPr="00816421">
        <w:rPr>
          <w:rFonts w:cs="Arial"/>
        </w:rPr>
        <w:t>Authorised Limit</w:t>
      </w:r>
      <w:r>
        <w:rPr>
          <w:rFonts w:cs="Arial"/>
        </w:rPr>
        <w:t>'</w:t>
      </w:r>
      <w:r w:rsidRPr="00816421">
        <w:rPr>
          <w:rFonts w:cs="Arial"/>
        </w:rPr>
        <w:t xml:space="preserve"> is a prudent estimate of debt which reflects the </w:t>
      </w:r>
      <w:r>
        <w:rPr>
          <w:rFonts w:cs="Arial"/>
        </w:rPr>
        <w:t>council's</w:t>
      </w:r>
      <w:r w:rsidRPr="00816421">
        <w:rPr>
          <w:rFonts w:cs="Arial"/>
        </w:rPr>
        <w:t xml:space="preserve"> capital expenditure plans and allows sufficient headroom for unusual cash movements.</w:t>
      </w:r>
    </w:p>
    <w:p w:rsidR="008F0AA1" w:rsidRPr="00816421" w:rsidRDefault="00943C19" w:rsidP="008F0AA1">
      <w:pPr>
        <w:jc w:val="both"/>
        <w:rPr>
          <w:rFonts w:cs="Arial"/>
        </w:rPr>
      </w:pPr>
    </w:p>
    <w:p w:rsidR="008F0AA1" w:rsidRDefault="00943C19" w:rsidP="008F0AA1">
      <w:pPr>
        <w:jc w:val="both"/>
      </w:pPr>
      <w:r w:rsidRPr="00816421">
        <w:rPr>
          <w:rFonts w:cs="Arial"/>
        </w:rPr>
        <w:t xml:space="preserve">The </w:t>
      </w:r>
      <w:r>
        <w:rPr>
          <w:rFonts w:cs="Arial"/>
        </w:rPr>
        <w:t>'</w:t>
      </w:r>
      <w:r w:rsidRPr="00816421">
        <w:rPr>
          <w:rFonts w:cs="Arial"/>
        </w:rPr>
        <w:t>Operational Boundary</w:t>
      </w:r>
      <w:r>
        <w:rPr>
          <w:rFonts w:cs="Arial"/>
        </w:rPr>
        <w:t>'</w:t>
      </w:r>
      <w:r w:rsidRPr="00816421">
        <w:rPr>
          <w:rFonts w:cs="Arial"/>
        </w:rPr>
        <w:t xml:space="preserve"> is a prudent estimate of debt but no provision for unusual cash movements. It repre</w:t>
      </w:r>
      <w:r w:rsidRPr="00816421">
        <w:rPr>
          <w:rFonts w:cs="Arial"/>
        </w:rPr>
        <w:t xml:space="preserve">sents the estimated maximum external debt arising as a consequence of the </w:t>
      </w:r>
      <w:r>
        <w:rPr>
          <w:rFonts w:cs="Arial"/>
        </w:rPr>
        <w:t>c</w:t>
      </w:r>
      <w:r w:rsidRPr="00816421">
        <w:rPr>
          <w:rFonts w:cs="Arial"/>
        </w:rPr>
        <w:t>ouncil's current plans and as such it is expected that the boundary could be breached but not on a regular basis.</w:t>
      </w:r>
      <w:r>
        <w:rPr>
          <w:rFonts w:cs="Arial"/>
        </w:rPr>
        <w:t xml:space="preserve"> </w:t>
      </w:r>
      <w:r w:rsidRPr="00816421">
        <w:t>Total debt during the year</w:t>
      </w:r>
      <w:r>
        <w:t xml:space="preserve"> to date</w:t>
      </w:r>
      <w:r w:rsidRPr="00816421">
        <w:t xml:space="preserve"> has remained below the Operation</w:t>
      </w:r>
      <w:r w:rsidRPr="00816421">
        <w:t xml:space="preserve">al Boundary. </w:t>
      </w:r>
    </w:p>
    <w:p w:rsidR="008F0AA1" w:rsidRPr="00816421" w:rsidRDefault="00943C19" w:rsidP="008F0AA1">
      <w:pPr>
        <w:jc w:val="both"/>
      </w:pPr>
    </w:p>
    <w:p w:rsidR="008F0AA1" w:rsidRPr="00057C9B" w:rsidRDefault="00943C19" w:rsidP="008F0AA1">
      <w:pPr>
        <w:jc w:val="both"/>
        <w:rPr>
          <w:rFonts w:cs="Arial"/>
          <w:b/>
          <w:color w:val="000000"/>
          <w:szCs w:val="24"/>
        </w:rPr>
      </w:pPr>
      <w:r w:rsidRPr="00784E67">
        <w:rPr>
          <w:rFonts w:cs="Arial"/>
          <w:color w:val="000000"/>
          <w:szCs w:val="24"/>
        </w:rPr>
        <w:t>The current interest rate payable on debt measured by Arlingclose Ltd treasury consultants is 1.7</w:t>
      </w:r>
      <w:r>
        <w:rPr>
          <w:rFonts w:cs="Arial"/>
          <w:color w:val="000000"/>
          <w:szCs w:val="24"/>
        </w:rPr>
        <w:t>7</w:t>
      </w:r>
      <w:r w:rsidRPr="00784E67">
        <w:rPr>
          <w:rFonts w:cs="Arial"/>
          <w:color w:val="000000"/>
          <w:szCs w:val="24"/>
        </w:rPr>
        <w:t xml:space="preserve">%. The most recent benchmarking figure available of the average rate for all Arlingclose clients (as measured </w:t>
      </w:r>
      <w:r>
        <w:rPr>
          <w:rFonts w:cs="Arial"/>
          <w:color w:val="000000"/>
          <w:szCs w:val="24"/>
        </w:rPr>
        <w:t>at</w:t>
      </w:r>
      <w:r w:rsidRPr="00784E67">
        <w:rPr>
          <w:rFonts w:cs="Arial"/>
          <w:color w:val="000000"/>
          <w:szCs w:val="24"/>
        </w:rPr>
        <w:t xml:space="preserve"> 31 March 2017) is 3.76%.</w:t>
      </w:r>
    </w:p>
    <w:p w:rsidR="008F0AA1" w:rsidRPr="00763986" w:rsidRDefault="00943C19" w:rsidP="008F0AA1">
      <w:pPr>
        <w:jc w:val="both"/>
        <w:rPr>
          <w:rFonts w:cs="Arial"/>
          <w:b/>
          <w:highlight w:val="green"/>
        </w:rPr>
      </w:pPr>
    </w:p>
    <w:p w:rsidR="008F0AA1" w:rsidRPr="00057C9B" w:rsidRDefault="00943C19" w:rsidP="008F0AA1">
      <w:pPr>
        <w:rPr>
          <w:b/>
        </w:rPr>
      </w:pPr>
      <w:r w:rsidRPr="00057C9B">
        <w:rPr>
          <w:b/>
        </w:rPr>
        <w:t>Budget Monitoring Position</w:t>
      </w:r>
    </w:p>
    <w:p w:rsidR="008F0AA1" w:rsidRPr="00057C9B" w:rsidRDefault="00943C19" w:rsidP="008F0AA1">
      <w:pPr>
        <w:jc w:val="both"/>
        <w:rPr>
          <w:rFonts w:cs="Arial"/>
        </w:rPr>
      </w:pPr>
      <w:r w:rsidRPr="00057C9B">
        <w:rPr>
          <w:rFonts w:cs="Arial"/>
        </w:rPr>
        <w:t>The net financing charges budget for 2017/18 is forecast to be £</w:t>
      </w:r>
      <w:r>
        <w:rPr>
          <w:rFonts w:cs="Arial"/>
        </w:rPr>
        <w:t>3.9</w:t>
      </w:r>
      <w:r w:rsidRPr="00057C9B">
        <w:rPr>
          <w:rFonts w:cs="Arial"/>
        </w:rPr>
        <w:t>m lower than budget at the end of the financial year. The main reasons for this are:</w:t>
      </w:r>
    </w:p>
    <w:p w:rsidR="008F0AA1" w:rsidRPr="00057C9B" w:rsidRDefault="00943C19" w:rsidP="008F0AA1">
      <w:pPr>
        <w:jc w:val="both"/>
        <w:rPr>
          <w:rFonts w:cs="Arial"/>
        </w:rPr>
      </w:pPr>
    </w:p>
    <w:p w:rsidR="008F0AA1" w:rsidRPr="003719B4" w:rsidRDefault="00943C19" w:rsidP="008F0AA1">
      <w:pPr>
        <w:pStyle w:val="ListParagraph"/>
        <w:numPr>
          <w:ilvl w:val="0"/>
          <w:numId w:val="25"/>
        </w:numPr>
        <w:tabs>
          <w:tab w:val="left" w:pos="851"/>
          <w:tab w:val="left" w:pos="1418"/>
        </w:tabs>
        <w:autoSpaceDE w:val="0"/>
        <w:autoSpaceDN w:val="0"/>
        <w:adjustRightInd w:val="0"/>
        <w:spacing w:after="120"/>
        <w:jc w:val="both"/>
        <w:rPr>
          <w:rFonts w:eastAsia="Calibri" w:cs="Arial"/>
          <w:color w:val="000000"/>
          <w:szCs w:val="24"/>
        </w:rPr>
      </w:pPr>
      <w:r w:rsidRPr="003719B4">
        <w:rPr>
          <w:rFonts w:eastAsia="Calibri" w:cs="Arial"/>
          <w:color w:val="000000"/>
          <w:szCs w:val="24"/>
        </w:rPr>
        <w:t xml:space="preserve">Sale of bonds due to market movements during recent months.  This enabled some </w:t>
      </w:r>
      <w:r>
        <w:rPr>
          <w:rFonts w:eastAsia="Calibri" w:cs="Arial"/>
          <w:color w:val="000000"/>
          <w:szCs w:val="24"/>
        </w:rPr>
        <w:t>gilt holdings</w:t>
      </w:r>
      <w:r w:rsidRPr="003719B4">
        <w:rPr>
          <w:rFonts w:eastAsia="Calibri" w:cs="Arial"/>
          <w:color w:val="000000"/>
          <w:szCs w:val="24"/>
        </w:rPr>
        <w:t xml:space="preserve"> and other traded bonds to be sold resulting in a net gain of £3.6m.</w:t>
      </w:r>
    </w:p>
    <w:p w:rsidR="008F0AA1" w:rsidRPr="003719B4" w:rsidRDefault="00943C19" w:rsidP="008F0AA1">
      <w:pPr>
        <w:pStyle w:val="ListParagraph"/>
        <w:numPr>
          <w:ilvl w:val="0"/>
          <w:numId w:val="25"/>
        </w:numPr>
        <w:tabs>
          <w:tab w:val="left" w:pos="851"/>
          <w:tab w:val="left" w:pos="1418"/>
        </w:tabs>
        <w:autoSpaceDE w:val="0"/>
        <w:autoSpaceDN w:val="0"/>
        <w:adjustRightInd w:val="0"/>
        <w:spacing w:after="120"/>
        <w:jc w:val="both"/>
        <w:rPr>
          <w:rFonts w:cs="Arial"/>
        </w:rPr>
      </w:pPr>
      <w:r w:rsidRPr="003719B4">
        <w:rPr>
          <w:rFonts w:eastAsia="Calibri" w:cs="Arial"/>
          <w:color w:val="000000"/>
          <w:szCs w:val="24"/>
        </w:rPr>
        <w:t>Increased traded bond coupon and other investment income of £0.3m</w:t>
      </w:r>
    </w:p>
    <w:p w:rsidR="008F0AA1" w:rsidRDefault="00943C19" w:rsidP="008F0AA1">
      <w:pPr>
        <w:jc w:val="both"/>
        <w:rPr>
          <w:rFonts w:cs="Arial"/>
          <w:szCs w:val="24"/>
        </w:rPr>
      </w:pPr>
      <w:r w:rsidRPr="00057C9B">
        <w:rPr>
          <w:rFonts w:cs="Arial"/>
          <w:szCs w:val="24"/>
        </w:rPr>
        <w:t>This position is kept under r</w:t>
      </w:r>
      <w:r w:rsidRPr="00057C9B">
        <w:rPr>
          <w:rFonts w:cs="Arial"/>
          <w:szCs w:val="24"/>
        </w:rPr>
        <w:t>egular review taking account both of ongoing performance and also market movements and the forecast is provided to the Director of Financ</w:t>
      </w:r>
      <w:r>
        <w:rPr>
          <w:rFonts w:cs="Arial"/>
          <w:szCs w:val="24"/>
        </w:rPr>
        <w:t>e</w:t>
      </w:r>
      <w:r w:rsidRPr="00057C9B">
        <w:rPr>
          <w:rFonts w:cs="Arial"/>
          <w:szCs w:val="24"/>
        </w:rPr>
        <w:t xml:space="preserve"> on a monthly basis.</w:t>
      </w:r>
    </w:p>
    <w:p w:rsidR="008F0AA1" w:rsidRPr="00763986" w:rsidRDefault="00943C19">
      <w:pPr>
        <w:rPr>
          <w:rFonts w:cs="Arial"/>
          <w:b/>
          <w:szCs w:val="24"/>
          <w:highlight w:val="green"/>
          <w:lang w:eastAsia="en-US"/>
        </w:rPr>
      </w:pPr>
    </w:p>
    <w:p w:rsidR="008F0AA1" w:rsidRPr="00763986" w:rsidRDefault="00943C19" w:rsidP="008F0AA1">
      <w:pPr>
        <w:pStyle w:val="ListParagraph"/>
        <w:ind w:left="0"/>
        <w:jc w:val="both"/>
        <w:rPr>
          <w:rFonts w:cs="Arial"/>
          <w:color w:val="000000"/>
          <w:szCs w:val="24"/>
        </w:rPr>
      </w:pPr>
      <w:r w:rsidRPr="00763986">
        <w:rPr>
          <w:rFonts w:cs="Arial"/>
          <w:b/>
          <w:szCs w:val="24"/>
        </w:rPr>
        <w:t>Prudential Indicators 201</w:t>
      </w:r>
      <w:r>
        <w:rPr>
          <w:rFonts w:cs="Arial"/>
          <w:b/>
          <w:szCs w:val="24"/>
        </w:rPr>
        <w:t>7/18</w:t>
      </w:r>
    </w:p>
    <w:p w:rsidR="008F0AA1" w:rsidRPr="00763986" w:rsidRDefault="00943C19" w:rsidP="008F0AA1">
      <w:pPr>
        <w:pStyle w:val="ListParagraph"/>
        <w:ind w:left="0"/>
        <w:jc w:val="both"/>
      </w:pPr>
      <w:r w:rsidRPr="00763986">
        <w:t>The Local Government Act 2003 and supporting regulations require t</w:t>
      </w:r>
      <w:r w:rsidRPr="00763986">
        <w:t xml:space="preserve">he </w:t>
      </w:r>
      <w:r>
        <w:t>c</w:t>
      </w:r>
      <w:r w:rsidRPr="00763986">
        <w:t>ouncil to have regard to the prudential code and to set prudential indicators to ensure capital investment plans are affordable, prudent and sustainable.</w:t>
      </w:r>
    </w:p>
    <w:p w:rsidR="008F0AA1" w:rsidRDefault="00943C19" w:rsidP="008F0AA1">
      <w:pPr>
        <w:jc w:val="both"/>
        <w:rPr>
          <w:rFonts w:cs="Arial"/>
          <w:szCs w:val="24"/>
        </w:rPr>
      </w:pPr>
      <w:r>
        <w:rPr>
          <w:rFonts w:cs="Arial"/>
          <w:szCs w:val="24"/>
        </w:rPr>
        <w:t>During the period the</w:t>
      </w:r>
      <w:r w:rsidRPr="00763986">
        <w:rPr>
          <w:rFonts w:cs="Arial"/>
          <w:szCs w:val="24"/>
        </w:rPr>
        <w:t xml:space="preserve"> </w:t>
      </w:r>
      <w:r>
        <w:rPr>
          <w:rFonts w:cs="Arial"/>
          <w:szCs w:val="24"/>
        </w:rPr>
        <w:t>c</w:t>
      </w:r>
      <w:r w:rsidRPr="00763986">
        <w:rPr>
          <w:rFonts w:cs="Arial"/>
          <w:szCs w:val="24"/>
        </w:rPr>
        <w:t xml:space="preserve">ouncil </w:t>
      </w:r>
      <w:r>
        <w:rPr>
          <w:rFonts w:cs="Arial"/>
          <w:szCs w:val="24"/>
        </w:rPr>
        <w:t>has been</w:t>
      </w:r>
      <w:r w:rsidRPr="00763986">
        <w:rPr>
          <w:rFonts w:cs="Arial"/>
          <w:szCs w:val="24"/>
        </w:rPr>
        <w:t xml:space="preserve"> within the Prudential Indicators </w:t>
      </w:r>
      <w:r>
        <w:rPr>
          <w:rFonts w:cs="Arial"/>
          <w:szCs w:val="24"/>
        </w:rPr>
        <w:t>approved as part of the Tr</w:t>
      </w:r>
      <w:r>
        <w:rPr>
          <w:rFonts w:cs="Arial"/>
          <w:szCs w:val="24"/>
        </w:rPr>
        <w:t xml:space="preserve">easury Management Strategy for 2017/18. </w:t>
      </w:r>
    </w:p>
    <w:p w:rsidR="008F0AA1" w:rsidRDefault="00943C19" w:rsidP="008F0AA1">
      <w:pPr>
        <w:jc w:val="both"/>
        <w:rPr>
          <w:rFonts w:cs="Arial"/>
          <w:szCs w:val="24"/>
        </w:rPr>
      </w:pPr>
    </w:p>
    <w:p w:rsidR="008F0AA1" w:rsidRDefault="00943C19" w:rsidP="008F0AA1">
      <w:pPr>
        <w:jc w:val="both"/>
        <w:rPr>
          <w:rFonts w:cs="Arial"/>
          <w:szCs w:val="24"/>
        </w:rPr>
      </w:pPr>
      <w:r w:rsidRPr="00763986">
        <w:rPr>
          <w:rFonts w:cs="Arial"/>
          <w:szCs w:val="24"/>
        </w:rPr>
        <w:t xml:space="preserve">Annex </w:t>
      </w:r>
      <w:r>
        <w:rPr>
          <w:rFonts w:cs="Arial"/>
          <w:szCs w:val="24"/>
        </w:rPr>
        <w:t>'</w:t>
      </w:r>
      <w:r>
        <w:rPr>
          <w:rFonts w:cs="Arial"/>
          <w:szCs w:val="24"/>
        </w:rPr>
        <w:t>A'</w:t>
      </w:r>
      <w:r>
        <w:rPr>
          <w:rFonts w:cs="Arial"/>
          <w:szCs w:val="24"/>
        </w:rPr>
        <w:t xml:space="preserve"> provides details of the Prudential Indicators for the reporting period.</w:t>
      </w:r>
    </w:p>
    <w:p w:rsidR="008F0AA1" w:rsidRDefault="00943C19" w:rsidP="008F0AA1">
      <w:pPr>
        <w:jc w:val="both"/>
        <w:rPr>
          <w:rFonts w:cs="Arial"/>
          <w:szCs w:val="24"/>
        </w:rPr>
      </w:pPr>
    </w:p>
    <w:p w:rsidR="008F0AA1" w:rsidRDefault="00943C19" w:rsidP="008F0AA1">
      <w:pPr>
        <w:jc w:val="both"/>
        <w:rPr>
          <w:rFonts w:cs="Arial"/>
          <w:bCs/>
          <w:szCs w:val="24"/>
          <w:highlight w:val="green"/>
        </w:rPr>
      </w:pPr>
    </w:p>
    <w:p w:rsidR="008F0AA1" w:rsidRDefault="00943C19" w:rsidP="008F0AA1">
      <w:pPr>
        <w:jc w:val="both"/>
        <w:rPr>
          <w:rFonts w:cs="Arial"/>
          <w:bCs/>
          <w:szCs w:val="24"/>
          <w:highlight w:val="green"/>
        </w:rPr>
      </w:pPr>
    </w:p>
    <w:p w:rsidR="008F0AA1" w:rsidRDefault="00943C19" w:rsidP="008F0AA1">
      <w:pPr>
        <w:jc w:val="both"/>
        <w:rPr>
          <w:rFonts w:cs="Arial"/>
          <w:bCs/>
          <w:szCs w:val="24"/>
          <w:highlight w:val="green"/>
        </w:rPr>
      </w:pPr>
    </w:p>
    <w:p w:rsidR="008F0AA1" w:rsidRDefault="00943C19" w:rsidP="008F0AA1">
      <w:pPr>
        <w:jc w:val="both"/>
        <w:rPr>
          <w:rFonts w:cs="Arial"/>
          <w:bCs/>
          <w:szCs w:val="24"/>
          <w:highlight w:val="green"/>
        </w:rPr>
      </w:pPr>
    </w:p>
    <w:p w:rsidR="008F0AA1" w:rsidRDefault="00943C19" w:rsidP="008F0AA1">
      <w:pPr>
        <w:jc w:val="both"/>
        <w:rPr>
          <w:rFonts w:cs="Arial"/>
          <w:bCs/>
          <w:szCs w:val="24"/>
          <w:highlight w:val="green"/>
        </w:rPr>
      </w:pPr>
    </w:p>
    <w:p w:rsidR="008F0AA1" w:rsidRDefault="00943C19" w:rsidP="008F0AA1">
      <w:pPr>
        <w:jc w:val="both"/>
        <w:rPr>
          <w:rFonts w:cs="Arial"/>
          <w:bCs/>
          <w:szCs w:val="24"/>
          <w:highlight w:val="green"/>
        </w:rPr>
      </w:pPr>
    </w:p>
    <w:p w:rsidR="008F0AA1" w:rsidRDefault="00943C19" w:rsidP="008F0AA1">
      <w:pPr>
        <w:jc w:val="both"/>
        <w:rPr>
          <w:rFonts w:cs="Arial"/>
          <w:bCs/>
          <w:szCs w:val="24"/>
          <w:highlight w:val="green"/>
        </w:rPr>
      </w:pPr>
    </w:p>
    <w:p w:rsidR="008F0AA1" w:rsidRDefault="00943C19" w:rsidP="008F0AA1">
      <w:pPr>
        <w:jc w:val="both"/>
        <w:rPr>
          <w:rFonts w:cs="Arial"/>
          <w:bCs/>
          <w:szCs w:val="24"/>
          <w:highlight w:val="green"/>
        </w:rPr>
      </w:pPr>
    </w:p>
    <w:p w:rsidR="008F0AA1" w:rsidRDefault="00943C19" w:rsidP="008F0AA1">
      <w:pPr>
        <w:jc w:val="both"/>
        <w:rPr>
          <w:rFonts w:cs="Arial"/>
          <w:bCs/>
          <w:szCs w:val="24"/>
          <w:highlight w:val="green"/>
        </w:rPr>
      </w:pPr>
    </w:p>
    <w:p w:rsidR="008F0AA1" w:rsidRDefault="00943C19" w:rsidP="008F0AA1">
      <w:pPr>
        <w:jc w:val="both"/>
        <w:rPr>
          <w:rFonts w:cs="Arial"/>
          <w:bCs/>
          <w:szCs w:val="24"/>
          <w:highlight w:val="green"/>
        </w:rPr>
      </w:pPr>
    </w:p>
    <w:p w:rsidR="008F0AA1" w:rsidRDefault="00943C19" w:rsidP="008F0AA1">
      <w:pPr>
        <w:jc w:val="both"/>
        <w:rPr>
          <w:rFonts w:cs="Arial"/>
          <w:bCs/>
          <w:szCs w:val="24"/>
          <w:highlight w:val="green"/>
        </w:rPr>
      </w:pPr>
    </w:p>
    <w:p w:rsidR="008F0AA1" w:rsidRDefault="00943C19" w:rsidP="008F0AA1">
      <w:pPr>
        <w:jc w:val="both"/>
        <w:rPr>
          <w:rFonts w:cs="Arial"/>
          <w:bCs/>
          <w:szCs w:val="24"/>
          <w:highlight w:val="green"/>
        </w:rPr>
      </w:pPr>
    </w:p>
    <w:p w:rsidR="008F0AA1" w:rsidRDefault="00943C19" w:rsidP="008F0AA1">
      <w:pPr>
        <w:jc w:val="both"/>
        <w:rPr>
          <w:rFonts w:cs="Arial"/>
          <w:bCs/>
          <w:szCs w:val="24"/>
          <w:highlight w:val="green"/>
        </w:rPr>
      </w:pPr>
    </w:p>
    <w:p w:rsidR="008F0AA1" w:rsidRDefault="00943C19" w:rsidP="008F0AA1">
      <w:pPr>
        <w:jc w:val="both"/>
        <w:rPr>
          <w:rFonts w:cs="Arial"/>
          <w:bCs/>
          <w:szCs w:val="24"/>
          <w:highlight w:val="green"/>
        </w:rPr>
      </w:pPr>
    </w:p>
    <w:p w:rsidR="008F0AA1" w:rsidRDefault="00943C19" w:rsidP="008F0AA1">
      <w:pPr>
        <w:jc w:val="both"/>
        <w:rPr>
          <w:rFonts w:cs="Arial"/>
          <w:bCs/>
          <w:szCs w:val="24"/>
          <w:highlight w:val="green"/>
        </w:rPr>
      </w:pPr>
    </w:p>
    <w:p w:rsidR="008F0AA1" w:rsidRDefault="00943C19" w:rsidP="008F0AA1">
      <w:pPr>
        <w:jc w:val="both"/>
        <w:rPr>
          <w:rFonts w:cs="Arial"/>
          <w:bCs/>
          <w:szCs w:val="24"/>
          <w:highlight w:val="green"/>
        </w:rPr>
      </w:pPr>
    </w:p>
    <w:p w:rsidR="008E5BBD" w:rsidRDefault="00943C19" w:rsidP="008F0AA1">
      <w:pPr>
        <w:jc w:val="both"/>
        <w:rPr>
          <w:rFonts w:cs="Arial"/>
          <w:bCs/>
          <w:szCs w:val="24"/>
          <w:highlight w:val="green"/>
        </w:rPr>
      </w:pPr>
    </w:p>
    <w:p w:rsidR="008E5BBD" w:rsidRDefault="00943C19" w:rsidP="008F0AA1">
      <w:pPr>
        <w:jc w:val="both"/>
        <w:rPr>
          <w:rFonts w:cs="Arial"/>
          <w:bCs/>
          <w:szCs w:val="24"/>
          <w:highlight w:val="green"/>
        </w:rPr>
      </w:pPr>
    </w:p>
    <w:p w:rsidR="008F0AA1" w:rsidRDefault="00943C19" w:rsidP="008F0AA1">
      <w:pPr>
        <w:jc w:val="both"/>
        <w:rPr>
          <w:rFonts w:cs="Arial"/>
          <w:bCs/>
          <w:szCs w:val="24"/>
          <w:highlight w:val="green"/>
        </w:rPr>
      </w:pPr>
    </w:p>
    <w:p w:rsidR="008F0AA1" w:rsidRDefault="00943C19" w:rsidP="008F0AA1">
      <w:pPr>
        <w:jc w:val="both"/>
        <w:rPr>
          <w:rFonts w:cs="Arial"/>
          <w:bCs/>
        </w:rPr>
      </w:pPr>
    </w:p>
    <w:p w:rsidR="008F0AA1" w:rsidRPr="00057C9B" w:rsidRDefault="00943C19" w:rsidP="008F0AA1">
      <w:pPr>
        <w:jc w:val="both"/>
        <w:rPr>
          <w:rFonts w:cs="Arial"/>
          <w:b/>
          <w:bCs/>
        </w:rPr>
      </w:pPr>
      <w:r w:rsidRPr="00057C9B">
        <w:rPr>
          <w:rFonts w:cs="Arial"/>
          <w:bCs/>
        </w:rPr>
        <w:tab/>
      </w:r>
      <w:r w:rsidRPr="00057C9B">
        <w:rPr>
          <w:rFonts w:cs="Arial"/>
          <w:bCs/>
        </w:rPr>
        <w:tab/>
      </w:r>
      <w:r w:rsidRPr="00057C9B">
        <w:rPr>
          <w:rFonts w:cs="Arial"/>
          <w:bCs/>
        </w:rPr>
        <w:tab/>
      </w:r>
      <w:r w:rsidRPr="00057C9B">
        <w:rPr>
          <w:rFonts w:cs="Arial"/>
          <w:bCs/>
        </w:rPr>
        <w:tab/>
      </w:r>
      <w:r w:rsidRPr="00057C9B">
        <w:rPr>
          <w:rFonts w:cs="Arial"/>
          <w:bCs/>
        </w:rPr>
        <w:tab/>
      </w:r>
      <w:r w:rsidRPr="00057C9B">
        <w:rPr>
          <w:rFonts w:cs="Arial"/>
          <w:bCs/>
        </w:rPr>
        <w:tab/>
      </w:r>
      <w:r w:rsidRPr="00057C9B">
        <w:rPr>
          <w:rFonts w:cs="Arial"/>
          <w:bCs/>
        </w:rPr>
        <w:tab/>
      </w:r>
      <w:r w:rsidRPr="00057C9B">
        <w:rPr>
          <w:rFonts w:cs="Arial"/>
          <w:bCs/>
        </w:rPr>
        <w:tab/>
      </w:r>
      <w:r w:rsidRPr="00057C9B">
        <w:rPr>
          <w:rFonts w:cs="Arial"/>
          <w:bCs/>
        </w:rPr>
        <w:tab/>
      </w:r>
      <w:r w:rsidRPr="00057C9B">
        <w:rPr>
          <w:rFonts w:cs="Arial"/>
          <w:b/>
          <w:bCs/>
        </w:rPr>
        <w:tab/>
      </w:r>
      <w:r w:rsidRPr="00057C9B">
        <w:rPr>
          <w:rFonts w:cs="Arial"/>
          <w:b/>
          <w:bCs/>
        </w:rPr>
        <w:tab/>
        <w:t xml:space="preserve">Annex </w:t>
      </w:r>
      <w:r>
        <w:rPr>
          <w:rFonts w:cs="Arial"/>
          <w:b/>
          <w:bCs/>
        </w:rPr>
        <w:t>'</w:t>
      </w:r>
      <w:r>
        <w:rPr>
          <w:rFonts w:cs="Arial"/>
          <w:b/>
          <w:bCs/>
        </w:rPr>
        <w:t>A'</w:t>
      </w:r>
      <w:bookmarkStart w:id="0" w:name="_GoBack"/>
      <w:bookmarkEnd w:id="0"/>
    </w:p>
    <w:p w:rsidR="008F0AA1" w:rsidRPr="00057C9B" w:rsidRDefault="00943C19" w:rsidP="008F0AA1">
      <w:pPr>
        <w:jc w:val="both"/>
        <w:rPr>
          <w:rFonts w:cs="Arial"/>
          <w:b/>
          <w:bCs/>
          <w:u w:val="single"/>
        </w:rPr>
      </w:pPr>
      <w:r w:rsidRPr="00057C9B">
        <w:rPr>
          <w:rFonts w:cs="Arial"/>
          <w:b/>
          <w:bCs/>
          <w:u w:val="single"/>
        </w:rPr>
        <w:t>Prudential Indicators</w:t>
      </w:r>
    </w:p>
    <w:p w:rsidR="008F0AA1" w:rsidRPr="00763986" w:rsidRDefault="00943C19" w:rsidP="008F0AA1">
      <w:pPr>
        <w:jc w:val="both"/>
        <w:rPr>
          <w:rFonts w:cs="Arial"/>
          <w:b/>
          <w:bCs/>
          <w:highlight w:val="green"/>
          <w:u w:val="single"/>
        </w:rPr>
      </w:pPr>
    </w:p>
    <w:tbl>
      <w:tblPr>
        <w:tblW w:w="8932" w:type="dxa"/>
        <w:tblInd w:w="-5" w:type="dxa"/>
        <w:tblLook w:val="04A0" w:firstRow="1" w:lastRow="0" w:firstColumn="1" w:lastColumn="0" w:noHBand="0" w:noVBand="1"/>
      </w:tblPr>
      <w:tblGrid>
        <w:gridCol w:w="5529"/>
        <w:gridCol w:w="1417"/>
        <w:gridCol w:w="1986"/>
      </w:tblGrid>
      <w:tr w:rsidR="007F00BA" w:rsidTr="008F0AA1">
        <w:trPr>
          <w:trHeight w:val="300"/>
        </w:trPr>
        <w:tc>
          <w:tcPr>
            <w:tcW w:w="6946" w:type="dxa"/>
            <w:gridSpan w:val="2"/>
            <w:tcBorders>
              <w:top w:val="nil"/>
              <w:left w:val="nil"/>
              <w:bottom w:val="nil"/>
              <w:right w:val="nil"/>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1. Adoption of CIPFA Treasury Management Code of Practice</w:t>
            </w:r>
            <w:r>
              <w:rPr>
                <w:rFonts w:cs="Arial"/>
                <w:color w:val="000000"/>
                <w:szCs w:val="24"/>
              </w:rPr>
              <w:t>:</w:t>
            </w:r>
          </w:p>
        </w:tc>
        <w:tc>
          <w:tcPr>
            <w:tcW w:w="1986" w:type="dxa"/>
            <w:tcBorders>
              <w:top w:val="nil"/>
              <w:left w:val="nil"/>
              <w:bottom w:val="nil"/>
              <w:right w:val="nil"/>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Adopted</w:t>
            </w:r>
          </w:p>
        </w:tc>
      </w:tr>
      <w:tr w:rsidR="007F00BA" w:rsidTr="008F0AA1">
        <w:trPr>
          <w:trHeight w:val="416"/>
        </w:trPr>
        <w:tc>
          <w:tcPr>
            <w:tcW w:w="5529" w:type="dxa"/>
            <w:tcBorders>
              <w:top w:val="nil"/>
              <w:left w:val="nil"/>
              <w:bottom w:val="nil"/>
            </w:tcBorders>
            <w:shd w:val="clear" w:color="auto" w:fill="auto"/>
            <w:noWrap/>
            <w:vAlign w:val="bottom"/>
          </w:tcPr>
          <w:p w:rsidR="008F0AA1" w:rsidRPr="00E53542" w:rsidRDefault="00943C19" w:rsidP="008F0AA1">
            <w:pPr>
              <w:rPr>
                <w:rFonts w:cs="Arial"/>
                <w:szCs w:val="24"/>
              </w:rPr>
            </w:pPr>
          </w:p>
        </w:tc>
        <w:tc>
          <w:tcPr>
            <w:tcW w:w="1417" w:type="dxa"/>
            <w:tcBorders>
              <w:bottom w:val="single" w:sz="4" w:space="0" w:color="auto"/>
            </w:tcBorders>
            <w:shd w:val="clear" w:color="auto" w:fill="auto"/>
            <w:vAlign w:val="bottom"/>
          </w:tcPr>
          <w:p w:rsidR="008F0AA1" w:rsidRPr="00E53542" w:rsidRDefault="00943C19" w:rsidP="008F0AA1">
            <w:pPr>
              <w:rPr>
                <w:rFonts w:cs="Arial"/>
                <w:color w:val="000000"/>
                <w:szCs w:val="24"/>
              </w:rPr>
            </w:pPr>
          </w:p>
        </w:tc>
        <w:tc>
          <w:tcPr>
            <w:tcW w:w="1986" w:type="dxa"/>
            <w:tcBorders>
              <w:bottom w:val="single" w:sz="4" w:space="0" w:color="auto"/>
            </w:tcBorders>
            <w:shd w:val="clear" w:color="auto" w:fill="auto"/>
            <w:vAlign w:val="bottom"/>
          </w:tcPr>
          <w:p w:rsidR="008F0AA1" w:rsidRPr="00E53542" w:rsidRDefault="00943C19" w:rsidP="008F0AA1">
            <w:pPr>
              <w:rPr>
                <w:rFonts w:cs="Arial"/>
                <w:color w:val="000000"/>
                <w:szCs w:val="24"/>
              </w:rPr>
            </w:pPr>
          </w:p>
        </w:tc>
      </w:tr>
      <w:tr w:rsidR="007F00BA" w:rsidTr="008F0AA1">
        <w:trPr>
          <w:trHeight w:val="279"/>
        </w:trPr>
        <w:tc>
          <w:tcPr>
            <w:tcW w:w="5529" w:type="dxa"/>
            <w:tcBorders>
              <w:left w:val="nil"/>
              <w:right w:val="single" w:sz="4" w:space="0" w:color="auto"/>
            </w:tcBorders>
            <w:shd w:val="clear" w:color="auto" w:fill="auto"/>
            <w:noWrap/>
            <w:vAlign w:val="bottom"/>
            <w:hideMark/>
          </w:tcPr>
          <w:p w:rsidR="008F0AA1" w:rsidRPr="00E53542" w:rsidRDefault="00943C19" w:rsidP="008F0AA1">
            <w:pPr>
              <w:rPr>
                <w:rFonts w:cs="Arial"/>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0AA1" w:rsidRPr="00E53542" w:rsidRDefault="00943C19" w:rsidP="008F0AA1">
            <w:pPr>
              <w:rPr>
                <w:rFonts w:cs="Arial"/>
                <w:color w:val="000000"/>
                <w:szCs w:val="24"/>
              </w:rPr>
            </w:pPr>
            <w:r w:rsidRPr="00E53542">
              <w:rPr>
                <w:rFonts w:cs="Arial"/>
                <w:color w:val="000000"/>
                <w:szCs w:val="24"/>
              </w:rPr>
              <w:t>2017/18</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0AA1" w:rsidRPr="00E53542" w:rsidRDefault="00943C19" w:rsidP="008F0AA1">
            <w:pPr>
              <w:rPr>
                <w:rFonts w:cs="Arial"/>
                <w:color w:val="000000"/>
                <w:szCs w:val="24"/>
              </w:rPr>
            </w:pPr>
            <w:r w:rsidRPr="00E53542">
              <w:rPr>
                <w:rFonts w:cs="Arial"/>
                <w:color w:val="000000"/>
                <w:szCs w:val="24"/>
              </w:rPr>
              <w:t>30th Nov Actual</w:t>
            </w:r>
          </w:p>
        </w:tc>
      </w:tr>
      <w:tr w:rsidR="007F00BA" w:rsidTr="008F0AA1">
        <w:trPr>
          <w:trHeight w:val="300"/>
        </w:trPr>
        <w:tc>
          <w:tcPr>
            <w:tcW w:w="5529" w:type="dxa"/>
            <w:tcBorders>
              <w:left w:val="nil"/>
              <w:bottom w:val="nil"/>
              <w:right w:val="single" w:sz="4" w:space="0" w:color="auto"/>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2. Authorised limit for external debt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£m</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£m</w:t>
            </w:r>
          </w:p>
        </w:tc>
      </w:tr>
      <w:tr w:rsidR="007F00BA" w:rsidTr="008F0AA1">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Borrowing</w:t>
            </w:r>
          </w:p>
        </w:tc>
        <w:tc>
          <w:tcPr>
            <w:tcW w:w="1417" w:type="dxa"/>
            <w:tcBorders>
              <w:top w:val="nil"/>
              <w:left w:val="nil"/>
              <w:bottom w:val="single" w:sz="4" w:space="0" w:color="auto"/>
              <w:right w:val="single" w:sz="4" w:space="0" w:color="auto"/>
            </w:tcBorders>
            <w:shd w:val="clear" w:color="auto" w:fill="auto"/>
            <w:noWrap/>
            <w:vAlign w:val="bottom"/>
            <w:hideMark/>
          </w:tcPr>
          <w:p w:rsidR="008F0AA1" w:rsidRPr="00E53542" w:rsidRDefault="00943C19" w:rsidP="008F0AA1">
            <w:pPr>
              <w:jc w:val="right"/>
              <w:rPr>
                <w:rFonts w:cs="Arial"/>
                <w:color w:val="000000"/>
                <w:szCs w:val="24"/>
              </w:rPr>
            </w:pPr>
            <w:r w:rsidRPr="00E53542">
              <w:rPr>
                <w:rFonts w:cs="Arial"/>
                <w:color w:val="000000"/>
                <w:szCs w:val="24"/>
              </w:rPr>
              <w:t>1,100</w:t>
            </w:r>
          </w:p>
        </w:tc>
        <w:tc>
          <w:tcPr>
            <w:tcW w:w="1986" w:type="dxa"/>
            <w:tcBorders>
              <w:top w:val="nil"/>
              <w:left w:val="nil"/>
              <w:bottom w:val="single" w:sz="4" w:space="0" w:color="auto"/>
              <w:right w:val="single" w:sz="4" w:space="0" w:color="auto"/>
            </w:tcBorders>
            <w:shd w:val="clear" w:color="auto" w:fill="auto"/>
            <w:noWrap/>
            <w:vAlign w:val="bottom"/>
            <w:hideMark/>
          </w:tcPr>
          <w:p w:rsidR="008F0AA1" w:rsidRPr="00E53542" w:rsidRDefault="00943C19" w:rsidP="008F0AA1">
            <w:pPr>
              <w:jc w:val="right"/>
              <w:rPr>
                <w:rFonts w:cs="Arial"/>
                <w:color w:val="000000"/>
                <w:szCs w:val="24"/>
              </w:rPr>
            </w:pPr>
            <w:r w:rsidRPr="00E53542">
              <w:rPr>
                <w:rFonts w:cs="Arial"/>
                <w:color w:val="000000"/>
                <w:szCs w:val="24"/>
              </w:rPr>
              <w:t>1,027</w:t>
            </w:r>
          </w:p>
        </w:tc>
      </w:tr>
      <w:tr w:rsidR="007F00BA" w:rsidTr="008F0AA1">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Other long term liabilities (PFI schemes)</w:t>
            </w:r>
          </w:p>
        </w:tc>
        <w:tc>
          <w:tcPr>
            <w:tcW w:w="1417" w:type="dxa"/>
            <w:tcBorders>
              <w:top w:val="nil"/>
              <w:left w:val="nil"/>
              <w:bottom w:val="single" w:sz="4" w:space="0" w:color="auto"/>
              <w:right w:val="single" w:sz="4" w:space="0" w:color="auto"/>
            </w:tcBorders>
            <w:shd w:val="clear" w:color="auto" w:fill="auto"/>
            <w:noWrap/>
            <w:vAlign w:val="bottom"/>
            <w:hideMark/>
          </w:tcPr>
          <w:p w:rsidR="008F0AA1" w:rsidRPr="00E53542" w:rsidRDefault="00943C19" w:rsidP="008F0AA1">
            <w:pPr>
              <w:jc w:val="right"/>
              <w:rPr>
                <w:rFonts w:cs="Arial"/>
                <w:color w:val="000000"/>
                <w:szCs w:val="24"/>
              </w:rPr>
            </w:pPr>
            <w:r w:rsidRPr="00E53542">
              <w:rPr>
                <w:rFonts w:cs="Arial"/>
                <w:color w:val="000000"/>
                <w:szCs w:val="24"/>
              </w:rPr>
              <w:t>200</w:t>
            </w:r>
          </w:p>
        </w:tc>
        <w:tc>
          <w:tcPr>
            <w:tcW w:w="1986" w:type="dxa"/>
            <w:tcBorders>
              <w:top w:val="nil"/>
              <w:left w:val="nil"/>
              <w:bottom w:val="single" w:sz="4" w:space="0" w:color="auto"/>
              <w:right w:val="single" w:sz="4" w:space="0" w:color="auto"/>
            </w:tcBorders>
            <w:shd w:val="clear" w:color="auto" w:fill="auto"/>
            <w:noWrap/>
            <w:vAlign w:val="bottom"/>
            <w:hideMark/>
          </w:tcPr>
          <w:p w:rsidR="008F0AA1" w:rsidRPr="00E53542" w:rsidRDefault="00943C19" w:rsidP="008F0AA1">
            <w:pPr>
              <w:jc w:val="right"/>
              <w:rPr>
                <w:rFonts w:cs="Arial"/>
                <w:color w:val="000000"/>
                <w:szCs w:val="24"/>
              </w:rPr>
            </w:pPr>
            <w:r w:rsidRPr="00E53542">
              <w:rPr>
                <w:rFonts w:cs="Arial"/>
                <w:color w:val="000000"/>
                <w:szCs w:val="24"/>
              </w:rPr>
              <w:t>162</w:t>
            </w:r>
          </w:p>
        </w:tc>
      </w:tr>
      <w:tr w:rsidR="007F00BA" w:rsidTr="008F0AA1">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8F0AA1" w:rsidRPr="00E53542" w:rsidRDefault="00943C19" w:rsidP="008F0AA1">
            <w:pPr>
              <w:jc w:val="right"/>
              <w:rPr>
                <w:rFonts w:cs="Arial"/>
                <w:color w:val="000000"/>
                <w:szCs w:val="24"/>
              </w:rPr>
            </w:pPr>
            <w:r w:rsidRPr="00E53542">
              <w:rPr>
                <w:rFonts w:cs="Arial"/>
                <w:color w:val="000000"/>
                <w:szCs w:val="24"/>
              </w:rPr>
              <w:t>1,300</w:t>
            </w:r>
          </w:p>
        </w:tc>
        <w:tc>
          <w:tcPr>
            <w:tcW w:w="1986" w:type="dxa"/>
            <w:tcBorders>
              <w:top w:val="nil"/>
              <w:left w:val="nil"/>
              <w:bottom w:val="single" w:sz="4" w:space="0" w:color="auto"/>
              <w:right w:val="single" w:sz="4" w:space="0" w:color="auto"/>
            </w:tcBorders>
            <w:shd w:val="clear" w:color="auto" w:fill="auto"/>
            <w:noWrap/>
            <w:vAlign w:val="bottom"/>
            <w:hideMark/>
          </w:tcPr>
          <w:p w:rsidR="008F0AA1" w:rsidRPr="00E53542" w:rsidRDefault="00943C19" w:rsidP="008F0AA1">
            <w:pPr>
              <w:jc w:val="right"/>
              <w:rPr>
                <w:rFonts w:cs="Arial"/>
                <w:color w:val="000000"/>
                <w:szCs w:val="24"/>
              </w:rPr>
            </w:pPr>
            <w:r w:rsidRPr="00E53542">
              <w:rPr>
                <w:rFonts w:cs="Arial"/>
                <w:color w:val="000000"/>
                <w:szCs w:val="24"/>
              </w:rPr>
              <w:t>1,189</w:t>
            </w:r>
          </w:p>
        </w:tc>
      </w:tr>
      <w:tr w:rsidR="007F00BA" w:rsidTr="008F0AA1">
        <w:trPr>
          <w:trHeight w:val="300"/>
        </w:trPr>
        <w:tc>
          <w:tcPr>
            <w:tcW w:w="5529" w:type="dxa"/>
            <w:tcBorders>
              <w:top w:val="nil"/>
              <w:left w:val="nil"/>
              <w:bottom w:val="nil"/>
              <w:right w:val="nil"/>
            </w:tcBorders>
            <w:shd w:val="clear" w:color="auto" w:fill="auto"/>
            <w:noWrap/>
            <w:vAlign w:val="bottom"/>
            <w:hideMark/>
          </w:tcPr>
          <w:p w:rsidR="008F0AA1" w:rsidRPr="00E53542" w:rsidRDefault="00943C19" w:rsidP="008F0AA1">
            <w:pPr>
              <w:rPr>
                <w:rFonts w:cs="Arial"/>
                <w:szCs w:val="24"/>
              </w:rPr>
            </w:pPr>
          </w:p>
        </w:tc>
        <w:tc>
          <w:tcPr>
            <w:tcW w:w="1417" w:type="dxa"/>
            <w:tcBorders>
              <w:top w:val="nil"/>
              <w:left w:val="nil"/>
              <w:bottom w:val="single" w:sz="4" w:space="0" w:color="auto"/>
              <w:right w:val="nil"/>
            </w:tcBorders>
            <w:shd w:val="clear" w:color="auto" w:fill="auto"/>
            <w:noWrap/>
            <w:vAlign w:val="bottom"/>
            <w:hideMark/>
          </w:tcPr>
          <w:p w:rsidR="008F0AA1" w:rsidRPr="00E53542" w:rsidRDefault="00943C19" w:rsidP="008F0AA1">
            <w:pPr>
              <w:rPr>
                <w:rFonts w:cs="Arial"/>
                <w:szCs w:val="24"/>
              </w:rPr>
            </w:pPr>
          </w:p>
        </w:tc>
        <w:tc>
          <w:tcPr>
            <w:tcW w:w="1986" w:type="dxa"/>
            <w:tcBorders>
              <w:top w:val="nil"/>
              <w:left w:val="nil"/>
              <w:bottom w:val="single" w:sz="4" w:space="0" w:color="auto"/>
              <w:right w:val="nil"/>
            </w:tcBorders>
            <w:shd w:val="clear" w:color="auto" w:fill="auto"/>
            <w:noWrap/>
            <w:vAlign w:val="bottom"/>
            <w:hideMark/>
          </w:tcPr>
          <w:p w:rsidR="008F0AA1" w:rsidRPr="00E53542" w:rsidRDefault="00943C19" w:rsidP="008F0AA1">
            <w:pPr>
              <w:rPr>
                <w:rFonts w:cs="Arial"/>
                <w:szCs w:val="24"/>
              </w:rPr>
            </w:pPr>
          </w:p>
        </w:tc>
      </w:tr>
      <w:tr w:rsidR="007F00BA" w:rsidTr="008F0AA1">
        <w:trPr>
          <w:trHeight w:val="300"/>
        </w:trPr>
        <w:tc>
          <w:tcPr>
            <w:tcW w:w="5529" w:type="dxa"/>
            <w:tcBorders>
              <w:top w:val="nil"/>
              <w:left w:val="nil"/>
              <w:bottom w:val="nil"/>
              <w:right w:val="single" w:sz="4" w:space="0" w:color="auto"/>
            </w:tcBorders>
            <w:shd w:val="clear" w:color="auto" w:fill="auto"/>
            <w:noWrap/>
            <w:vAlign w:val="bottom"/>
            <w:hideMark/>
          </w:tcPr>
          <w:p w:rsidR="008F0AA1" w:rsidRPr="00E53542" w:rsidRDefault="00943C19" w:rsidP="008F0AA1">
            <w:pPr>
              <w:rPr>
                <w:rFonts w:cs="Arial"/>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2017/18</w:t>
            </w:r>
          </w:p>
        </w:tc>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30th Nov Actual</w:t>
            </w:r>
          </w:p>
        </w:tc>
      </w:tr>
      <w:tr w:rsidR="007F00BA" w:rsidTr="008F0AA1">
        <w:trPr>
          <w:trHeight w:val="300"/>
        </w:trPr>
        <w:tc>
          <w:tcPr>
            <w:tcW w:w="5529" w:type="dxa"/>
            <w:tcBorders>
              <w:top w:val="nil"/>
              <w:left w:val="nil"/>
              <w:bottom w:val="nil"/>
              <w:right w:val="nil"/>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3. Operational boundary for external debt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£m</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£m</w:t>
            </w:r>
          </w:p>
        </w:tc>
      </w:tr>
      <w:tr w:rsidR="007F00BA" w:rsidTr="008F0AA1">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Borrowing</w:t>
            </w:r>
          </w:p>
        </w:tc>
        <w:tc>
          <w:tcPr>
            <w:tcW w:w="1417" w:type="dxa"/>
            <w:tcBorders>
              <w:top w:val="nil"/>
              <w:left w:val="nil"/>
              <w:bottom w:val="single" w:sz="4" w:space="0" w:color="auto"/>
              <w:right w:val="single" w:sz="4" w:space="0" w:color="auto"/>
            </w:tcBorders>
            <w:shd w:val="clear" w:color="auto" w:fill="auto"/>
            <w:noWrap/>
            <w:vAlign w:val="bottom"/>
            <w:hideMark/>
          </w:tcPr>
          <w:p w:rsidR="008F0AA1" w:rsidRPr="00E53542" w:rsidRDefault="00943C19" w:rsidP="008F0AA1">
            <w:pPr>
              <w:jc w:val="right"/>
              <w:rPr>
                <w:rFonts w:cs="Arial"/>
                <w:color w:val="000000"/>
                <w:szCs w:val="24"/>
              </w:rPr>
            </w:pPr>
            <w:r w:rsidRPr="00E53542">
              <w:rPr>
                <w:rFonts w:cs="Arial"/>
                <w:color w:val="000000"/>
                <w:szCs w:val="24"/>
              </w:rPr>
              <w:t>1,075</w:t>
            </w:r>
          </w:p>
        </w:tc>
        <w:tc>
          <w:tcPr>
            <w:tcW w:w="1986" w:type="dxa"/>
            <w:tcBorders>
              <w:top w:val="nil"/>
              <w:left w:val="nil"/>
              <w:bottom w:val="single" w:sz="4" w:space="0" w:color="auto"/>
              <w:right w:val="single" w:sz="4" w:space="0" w:color="auto"/>
            </w:tcBorders>
            <w:shd w:val="clear" w:color="auto" w:fill="auto"/>
            <w:noWrap/>
            <w:vAlign w:val="bottom"/>
            <w:hideMark/>
          </w:tcPr>
          <w:p w:rsidR="008F0AA1" w:rsidRPr="00E53542" w:rsidRDefault="00943C19" w:rsidP="008F0AA1">
            <w:pPr>
              <w:jc w:val="right"/>
              <w:rPr>
                <w:rFonts w:cs="Arial"/>
                <w:color w:val="000000"/>
                <w:szCs w:val="24"/>
              </w:rPr>
            </w:pPr>
            <w:r w:rsidRPr="00E53542">
              <w:rPr>
                <w:rFonts w:cs="Arial"/>
                <w:color w:val="000000"/>
                <w:szCs w:val="24"/>
              </w:rPr>
              <w:t>1,030</w:t>
            </w:r>
          </w:p>
        </w:tc>
      </w:tr>
      <w:tr w:rsidR="007F00BA" w:rsidTr="008F0AA1">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Other long term liabilities (PFI schemes)</w:t>
            </w:r>
          </w:p>
        </w:tc>
        <w:tc>
          <w:tcPr>
            <w:tcW w:w="1417" w:type="dxa"/>
            <w:tcBorders>
              <w:top w:val="nil"/>
              <w:left w:val="nil"/>
              <w:bottom w:val="single" w:sz="4" w:space="0" w:color="auto"/>
              <w:right w:val="single" w:sz="4" w:space="0" w:color="auto"/>
            </w:tcBorders>
            <w:shd w:val="clear" w:color="auto" w:fill="auto"/>
            <w:noWrap/>
            <w:vAlign w:val="bottom"/>
            <w:hideMark/>
          </w:tcPr>
          <w:p w:rsidR="008F0AA1" w:rsidRPr="00E53542" w:rsidRDefault="00943C19" w:rsidP="008F0AA1">
            <w:pPr>
              <w:jc w:val="right"/>
              <w:rPr>
                <w:rFonts w:cs="Arial"/>
                <w:color w:val="000000"/>
                <w:szCs w:val="24"/>
              </w:rPr>
            </w:pPr>
            <w:r w:rsidRPr="00E53542">
              <w:rPr>
                <w:rFonts w:cs="Arial"/>
                <w:color w:val="000000"/>
                <w:szCs w:val="24"/>
              </w:rPr>
              <w:t>170</w:t>
            </w:r>
          </w:p>
        </w:tc>
        <w:tc>
          <w:tcPr>
            <w:tcW w:w="1986" w:type="dxa"/>
            <w:tcBorders>
              <w:top w:val="nil"/>
              <w:left w:val="nil"/>
              <w:bottom w:val="single" w:sz="4" w:space="0" w:color="auto"/>
              <w:right w:val="single" w:sz="4" w:space="0" w:color="auto"/>
            </w:tcBorders>
            <w:shd w:val="clear" w:color="auto" w:fill="auto"/>
            <w:noWrap/>
            <w:vAlign w:val="bottom"/>
            <w:hideMark/>
          </w:tcPr>
          <w:p w:rsidR="008F0AA1" w:rsidRPr="00E53542" w:rsidRDefault="00943C19" w:rsidP="008F0AA1">
            <w:pPr>
              <w:jc w:val="right"/>
              <w:rPr>
                <w:rFonts w:cs="Arial"/>
                <w:color w:val="000000"/>
                <w:szCs w:val="24"/>
              </w:rPr>
            </w:pPr>
            <w:r w:rsidRPr="00E53542">
              <w:rPr>
                <w:rFonts w:cs="Arial"/>
                <w:color w:val="000000"/>
                <w:szCs w:val="24"/>
              </w:rPr>
              <w:t>162</w:t>
            </w:r>
          </w:p>
        </w:tc>
      </w:tr>
      <w:tr w:rsidR="007F00BA" w:rsidTr="008F0AA1">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8F0AA1" w:rsidRPr="00E53542" w:rsidRDefault="00943C19" w:rsidP="008F0AA1">
            <w:pPr>
              <w:jc w:val="right"/>
              <w:rPr>
                <w:rFonts w:cs="Arial"/>
                <w:color w:val="000000"/>
                <w:szCs w:val="24"/>
              </w:rPr>
            </w:pPr>
            <w:r w:rsidRPr="00E53542">
              <w:rPr>
                <w:rFonts w:cs="Arial"/>
                <w:color w:val="000000"/>
                <w:szCs w:val="24"/>
              </w:rPr>
              <w:t>1,245</w:t>
            </w:r>
          </w:p>
        </w:tc>
        <w:tc>
          <w:tcPr>
            <w:tcW w:w="1986" w:type="dxa"/>
            <w:tcBorders>
              <w:top w:val="nil"/>
              <w:left w:val="nil"/>
              <w:bottom w:val="single" w:sz="4" w:space="0" w:color="auto"/>
              <w:right w:val="single" w:sz="4" w:space="0" w:color="auto"/>
            </w:tcBorders>
            <w:shd w:val="clear" w:color="auto" w:fill="auto"/>
            <w:noWrap/>
            <w:vAlign w:val="bottom"/>
            <w:hideMark/>
          </w:tcPr>
          <w:p w:rsidR="008F0AA1" w:rsidRPr="00E53542" w:rsidRDefault="00943C19" w:rsidP="008F0AA1">
            <w:pPr>
              <w:jc w:val="right"/>
              <w:rPr>
                <w:rFonts w:cs="Arial"/>
                <w:color w:val="000000"/>
                <w:szCs w:val="24"/>
              </w:rPr>
            </w:pPr>
            <w:r w:rsidRPr="00E53542">
              <w:rPr>
                <w:rFonts w:cs="Arial"/>
                <w:color w:val="000000"/>
                <w:szCs w:val="24"/>
              </w:rPr>
              <w:t>1,1</w:t>
            </w:r>
            <w:r>
              <w:rPr>
                <w:rFonts w:cs="Arial"/>
                <w:color w:val="000000"/>
                <w:szCs w:val="24"/>
              </w:rPr>
              <w:t>92</w:t>
            </w:r>
          </w:p>
        </w:tc>
      </w:tr>
      <w:tr w:rsidR="007F00BA" w:rsidTr="008F0AA1">
        <w:trPr>
          <w:trHeight w:val="300"/>
        </w:trPr>
        <w:tc>
          <w:tcPr>
            <w:tcW w:w="5529" w:type="dxa"/>
            <w:tcBorders>
              <w:top w:val="nil"/>
              <w:left w:val="nil"/>
              <w:bottom w:val="nil"/>
              <w:right w:val="nil"/>
            </w:tcBorders>
            <w:shd w:val="clear" w:color="auto" w:fill="auto"/>
            <w:noWrap/>
            <w:vAlign w:val="bottom"/>
            <w:hideMark/>
          </w:tcPr>
          <w:p w:rsidR="008F0AA1" w:rsidRPr="00E53542" w:rsidRDefault="00943C19" w:rsidP="008F0AA1">
            <w:pPr>
              <w:rPr>
                <w:rFonts w:cs="Arial"/>
                <w:szCs w:val="24"/>
              </w:rPr>
            </w:pPr>
          </w:p>
        </w:tc>
        <w:tc>
          <w:tcPr>
            <w:tcW w:w="1417" w:type="dxa"/>
            <w:tcBorders>
              <w:top w:val="nil"/>
              <w:left w:val="nil"/>
              <w:bottom w:val="nil"/>
              <w:right w:val="nil"/>
            </w:tcBorders>
            <w:shd w:val="clear" w:color="auto" w:fill="auto"/>
            <w:noWrap/>
            <w:vAlign w:val="bottom"/>
            <w:hideMark/>
          </w:tcPr>
          <w:p w:rsidR="008F0AA1" w:rsidRPr="00E53542" w:rsidRDefault="00943C19" w:rsidP="008F0AA1">
            <w:pPr>
              <w:rPr>
                <w:rFonts w:cs="Arial"/>
                <w:szCs w:val="24"/>
              </w:rPr>
            </w:pPr>
          </w:p>
        </w:tc>
        <w:tc>
          <w:tcPr>
            <w:tcW w:w="1986" w:type="dxa"/>
            <w:tcBorders>
              <w:top w:val="nil"/>
              <w:left w:val="nil"/>
              <w:bottom w:val="nil"/>
              <w:right w:val="nil"/>
            </w:tcBorders>
            <w:shd w:val="clear" w:color="auto" w:fill="auto"/>
            <w:noWrap/>
            <w:vAlign w:val="bottom"/>
            <w:hideMark/>
          </w:tcPr>
          <w:p w:rsidR="008F0AA1" w:rsidRPr="00E53542" w:rsidRDefault="00943C19" w:rsidP="008F0AA1">
            <w:pPr>
              <w:rPr>
                <w:rFonts w:cs="Arial"/>
                <w:szCs w:val="24"/>
              </w:rPr>
            </w:pPr>
          </w:p>
        </w:tc>
      </w:tr>
      <w:tr w:rsidR="007F00BA" w:rsidTr="008F0AA1">
        <w:trPr>
          <w:trHeight w:val="300"/>
        </w:trPr>
        <w:tc>
          <w:tcPr>
            <w:tcW w:w="5529" w:type="dxa"/>
            <w:tcBorders>
              <w:top w:val="nil"/>
              <w:left w:val="nil"/>
              <w:bottom w:val="nil"/>
              <w:right w:val="nil"/>
            </w:tcBorders>
            <w:shd w:val="clear" w:color="auto" w:fill="auto"/>
            <w:noWrap/>
            <w:vAlign w:val="bottom"/>
            <w:hideMark/>
          </w:tcPr>
          <w:p w:rsidR="008F0AA1" w:rsidRPr="00E53542" w:rsidRDefault="00943C19" w:rsidP="008F0AA1">
            <w:pPr>
              <w:rPr>
                <w:rFonts w:cs="Arial"/>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2017/18</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30th Nov Actual</w:t>
            </w:r>
          </w:p>
        </w:tc>
      </w:tr>
      <w:tr w:rsidR="007F00BA" w:rsidTr="008F0AA1">
        <w:trPr>
          <w:trHeight w:val="300"/>
        </w:trPr>
        <w:tc>
          <w:tcPr>
            <w:tcW w:w="5529" w:type="dxa"/>
            <w:tcBorders>
              <w:top w:val="nil"/>
              <w:left w:val="nil"/>
              <w:bottom w:val="nil"/>
              <w:right w:val="nil"/>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4. Capital Financing Requirement to Gross Debt</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£m</w:t>
            </w:r>
          </w:p>
        </w:tc>
        <w:tc>
          <w:tcPr>
            <w:tcW w:w="1986" w:type="dxa"/>
            <w:tcBorders>
              <w:top w:val="nil"/>
              <w:left w:val="nil"/>
              <w:bottom w:val="single" w:sz="4" w:space="0" w:color="auto"/>
              <w:right w:val="single" w:sz="4" w:space="0" w:color="auto"/>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£m</w:t>
            </w:r>
          </w:p>
        </w:tc>
      </w:tr>
      <w:tr w:rsidR="007F00BA" w:rsidTr="008F0AA1">
        <w:trPr>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Borrowing Capital Financing Requirement</w:t>
            </w:r>
          </w:p>
        </w:tc>
        <w:tc>
          <w:tcPr>
            <w:tcW w:w="1417" w:type="dxa"/>
            <w:tcBorders>
              <w:top w:val="nil"/>
              <w:left w:val="nil"/>
              <w:bottom w:val="single" w:sz="4" w:space="0" w:color="auto"/>
              <w:right w:val="single" w:sz="4" w:space="0" w:color="auto"/>
            </w:tcBorders>
            <w:shd w:val="clear" w:color="auto" w:fill="auto"/>
            <w:noWrap/>
            <w:vAlign w:val="bottom"/>
            <w:hideMark/>
          </w:tcPr>
          <w:p w:rsidR="008F0AA1" w:rsidRPr="00E53542" w:rsidRDefault="00943C19" w:rsidP="008F0AA1">
            <w:pPr>
              <w:jc w:val="right"/>
              <w:rPr>
                <w:rFonts w:cs="Arial"/>
                <w:color w:val="000000"/>
                <w:szCs w:val="24"/>
              </w:rPr>
            </w:pPr>
            <w:r w:rsidRPr="00E53542">
              <w:rPr>
                <w:rFonts w:cs="Arial"/>
                <w:color w:val="000000"/>
                <w:szCs w:val="24"/>
              </w:rPr>
              <w:t>843</w:t>
            </w:r>
          </w:p>
        </w:tc>
        <w:tc>
          <w:tcPr>
            <w:tcW w:w="1986" w:type="dxa"/>
            <w:tcBorders>
              <w:top w:val="nil"/>
              <w:left w:val="nil"/>
              <w:bottom w:val="single" w:sz="4" w:space="0" w:color="auto"/>
              <w:right w:val="single" w:sz="4" w:space="0" w:color="auto"/>
            </w:tcBorders>
            <w:shd w:val="clear" w:color="auto" w:fill="auto"/>
            <w:noWrap/>
            <w:vAlign w:val="bottom"/>
            <w:hideMark/>
          </w:tcPr>
          <w:p w:rsidR="008F0AA1" w:rsidRPr="00E53542" w:rsidRDefault="00943C19" w:rsidP="008F0AA1">
            <w:pPr>
              <w:jc w:val="right"/>
              <w:rPr>
                <w:rFonts w:cs="Arial"/>
                <w:color w:val="000000"/>
                <w:szCs w:val="24"/>
              </w:rPr>
            </w:pPr>
            <w:r w:rsidRPr="00E53542">
              <w:rPr>
                <w:rFonts w:cs="Arial"/>
                <w:color w:val="000000"/>
                <w:szCs w:val="24"/>
              </w:rPr>
              <w:t>843</w:t>
            </w:r>
          </w:p>
        </w:tc>
      </w:tr>
      <w:tr w:rsidR="007F00BA" w:rsidTr="008F0AA1">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Estimated gross debt</w:t>
            </w:r>
          </w:p>
        </w:tc>
        <w:tc>
          <w:tcPr>
            <w:tcW w:w="1417" w:type="dxa"/>
            <w:tcBorders>
              <w:top w:val="nil"/>
              <w:left w:val="nil"/>
              <w:bottom w:val="single" w:sz="4" w:space="0" w:color="auto"/>
              <w:right w:val="single" w:sz="4" w:space="0" w:color="auto"/>
            </w:tcBorders>
            <w:shd w:val="clear" w:color="auto" w:fill="auto"/>
            <w:noWrap/>
            <w:vAlign w:val="bottom"/>
            <w:hideMark/>
          </w:tcPr>
          <w:p w:rsidR="008F0AA1" w:rsidRPr="00E53542" w:rsidRDefault="00943C19" w:rsidP="008F0AA1">
            <w:pPr>
              <w:jc w:val="right"/>
              <w:rPr>
                <w:rFonts w:cs="Arial"/>
                <w:color w:val="000000"/>
                <w:szCs w:val="24"/>
              </w:rPr>
            </w:pPr>
            <w:r w:rsidRPr="00E53542">
              <w:rPr>
                <w:rFonts w:cs="Arial"/>
                <w:color w:val="000000"/>
                <w:szCs w:val="24"/>
              </w:rPr>
              <w:t>1,003</w:t>
            </w:r>
          </w:p>
        </w:tc>
        <w:tc>
          <w:tcPr>
            <w:tcW w:w="1986" w:type="dxa"/>
            <w:tcBorders>
              <w:top w:val="nil"/>
              <w:left w:val="nil"/>
              <w:bottom w:val="single" w:sz="4" w:space="0" w:color="auto"/>
              <w:right w:val="single" w:sz="4" w:space="0" w:color="auto"/>
            </w:tcBorders>
            <w:shd w:val="clear" w:color="auto" w:fill="auto"/>
            <w:noWrap/>
            <w:vAlign w:val="bottom"/>
            <w:hideMark/>
          </w:tcPr>
          <w:p w:rsidR="008F0AA1" w:rsidRPr="00E53542" w:rsidRDefault="00943C19" w:rsidP="008F0AA1">
            <w:pPr>
              <w:jc w:val="right"/>
              <w:rPr>
                <w:rFonts w:cs="Arial"/>
                <w:color w:val="000000"/>
                <w:szCs w:val="24"/>
              </w:rPr>
            </w:pPr>
            <w:r w:rsidRPr="00E53542">
              <w:rPr>
                <w:rFonts w:cs="Arial"/>
                <w:color w:val="000000"/>
                <w:szCs w:val="24"/>
              </w:rPr>
              <w:t>1,027</w:t>
            </w:r>
          </w:p>
        </w:tc>
      </w:tr>
      <w:tr w:rsidR="007F00BA" w:rsidTr="008F0AA1">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8F0AA1" w:rsidRPr="00E53542" w:rsidRDefault="00943C19" w:rsidP="008F0AA1">
            <w:pPr>
              <w:rPr>
                <w:rFonts w:cs="Arial"/>
                <w:color w:val="000000"/>
                <w:szCs w:val="24"/>
              </w:rPr>
            </w:pPr>
            <w:r w:rsidRPr="00E53542">
              <w:rPr>
                <w:rFonts w:cs="Arial"/>
                <w:color w:val="000000"/>
                <w:szCs w:val="24"/>
              </w:rPr>
              <w:t xml:space="preserve">Debt </w:t>
            </w:r>
            <w:r w:rsidRPr="00E53542">
              <w:rPr>
                <w:rFonts w:cs="Arial"/>
                <w:color w:val="000000"/>
                <w:szCs w:val="24"/>
              </w:rPr>
              <w:t>to Capital Financing Requirements</w:t>
            </w:r>
          </w:p>
        </w:tc>
        <w:tc>
          <w:tcPr>
            <w:tcW w:w="1417" w:type="dxa"/>
            <w:tcBorders>
              <w:top w:val="nil"/>
              <w:left w:val="nil"/>
              <w:bottom w:val="single" w:sz="4" w:space="0" w:color="auto"/>
              <w:right w:val="single" w:sz="4" w:space="0" w:color="auto"/>
            </w:tcBorders>
            <w:shd w:val="clear" w:color="auto" w:fill="auto"/>
            <w:noWrap/>
            <w:vAlign w:val="bottom"/>
            <w:hideMark/>
          </w:tcPr>
          <w:p w:rsidR="008F0AA1" w:rsidRPr="00E53542" w:rsidRDefault="00943C19" w:rsidP="008F0AA1">
            <w:pPr>
              <w:jc w:val="right"/>
              <w:rPr>
                <w:rFonts w:cs="Arial"/>
                <w:color w:val="000000"/>
                <w:szCs w:val="24"/>
              </w:rPr>
            </w:pPr>
            <w:r w:rsidRPr="00E53542">
              <w:rPr>
                <w:rFonts w:cs="Arial"/>
                <w:color w:val="000000"/>
                <w:szCs w:val="24"/>
              </w:rPr>
              <w:t>119%</w:t>
            </w:r>
          </w:p>
        </w:tc>
        <w:tc>
          <w:tcPr>
            <w:tcW w:w="1986" w:type="dxa"/>
            <w:tcBorders>
              <w:top w:val="nil"/>
              <w:left w:val="nil"/>
              <w:bottom w:val="single" w:sz="4" w:space="0" w:color="auto"/>
              <w:right w:val="single" w:sz="4" w:space="0" w:color="auto"/>
            </w:tcBorders>
            <w:shd w:val="clear" w:color="auto" w:fill="auto"/>
            <w:noWrap/>
            <w:vAlign w:val="bottom"/>
            <w:hideMark/>
          </w:tcPr>
          <w:p w:rsidR="008F0AA1" w:rsidRPr="00E53542" w:rsidRDefault="00943C19" w:rsidP="008F0AA1">
            <w:pPr>
              <w:jc w:val="right"/>
              <w:rPr>
                <w:rFonts w:cs="Arial"/>
                <w:color w:val="000000"/>
                <w:szCs w:val="24"/>
              </w:rPr>
            </w:pPr>
            <w:r w:rsidRPr="00E53542">
              <w:rPr>
                <w:rFonts w:cs="Arial"/>
                <w:color w:val="000000"/>
                <w:szCs w:val="24"/>
              </w:rPr>
              <w:t>122%</w:t>
            </w:r>
          </w:p>
        </w:tc>
      </w:tr>
    </w:tbl>
    <w:p w:rsidR="008F0AA1" w:rsidRDefault="00943C19" w:rsidP="008F0AA1">
      <w:pPr>
        <w:jc w:val="both"/>
        <w:rPr>
          <w:rFonts w:cs="Arial"/>
          <w:szCs w:val="24"/>
        </w:rPr>
      </w:pPr>
    </w:p>
    <w:p w:rsidR="008F0AA1" w:rsidRDefault="00943C19" w:rsidP="008F0AA1">
      <w:pPr>
        <w:jc w:val="both"/>
        <w:rPr>
          <w:rFonts w:cs="Arial"/>
          <w:szCs w:val="24"/>
        </w:rPr>
      </w:pPr>
      <w:r w:rsidRPr="00E53542">
        <w:rPr>
          <w:rFonts w:cs="Arial"/>
          <w:szCs w:val="24"/>
        </w:rPr>
        <w:t xml:space="preserve">The Capital Financing </w:t>
      </w:r>
      <w:r>
        <w:rPr>
          <w:rFonts w:cs="Arial"/>
          <w:szCs w:val="24"/>
        </w:rPr>
        <w:t>R</w:t>
      </w:r>
      <w:r w:rsidRPr="00E53542">
        <w:rPr>
          <w:rFonts w:cs="Arial"/>
          <w:szCs w:val="24"/>
        </w:rPr>
        <w:t>equirement</w:t>
      </w:r>
      <w:r>
        <w:rPr>
          <w:rFonts w:cs="Arial"/>
          <w:szCs w:val="24"/>
        </w:rPr>
        <w:t xml:space="preserve"> (CFR)</w:t>
      </w:r>
      <w:r w:rsidRPr="00E53542">
        <w:rPr>
          <w:rFonts w:cs="Arial"/>
          <w:szCs w:val="24"/>
        </w:rPr>
        <w:t xml:space="preserve"> is the underlying need to borrow for capital purposes. This is the cumulative effect of past borrowing decisions and future plans. This is not the same as the actual borrowing on any one day, as day to day borrowing requirements incorporate the effect of </w:t>
      </w:r>
      <w:r w:rsidRPr="00E53542">
        <w:rPr>
          <w:rFonts w:cs="Arial"/>
          <w:szCs w:val="24"/>
        </w:rPr>
        <w:t>cash flow movements relating to both capital and revenue expenditure and income.</w:t>
      </w:r>
    </w:p>
    <w:p w:rsidR="008F0AA1" w:rsidRDefault="00943C19" w:rsidP="008F0AA1">
      <w:pPr>
        <w:jc w:val="both"/>
        <w:rPr>
          <w:rFonts w:cs="Arial"/>
          <w:szCs w:val="24"/>
        </w:rPr>
      </w:pPr>
    </w:p>
    <w:p w:rsidR="008F0AA1" w:rsidRPr="00E462F3" w:rsidRDefault="00943C19" w:rsidP="008F0AA1">
      <w:pPr>
        <w:jc w:val="both"/>
        <w:rPr>
          <w:rFonts w:cs="Arial"/>
          <w:szCs w:val="24"/>
        </w:rPr>
      </w:pPr>
      <w:r w:rsidRPr="00E462F3">
        <w:rPr>
          <w:rFonts w:cs="Arial"/>
          <w:szCs w:val="24"/>
        </w:rPr>
        <w:t xml:space="preserve">Gross borrowing is higher than the </w:t>
      </w:r>
      <w:r>
        <w:rPr>
          <w:rFonts w:cs="Arial"/>
          <w:szCs w:val="24"/>
        </w:rPr>
        <w:t>CFR</w:t>
      </w:r>
      <w:r w:rsidRPr="00E462F3">
        <w:rPr>
          <w:rFonts w:cs="Arial"/>
          <w:szCs w:val="24"/>
        </w:rPr>
        <w:t xml:space="preserve"> because the shared investment scheme is accounted for as borrowing but it does not form part of the </w:t>
      </w:r>
      <w:r>
        <w:rPr>
          <w:rFonts w:cs="Arial"/>
          <w:szCs w:val="24"/>
        </w:rPr>
        <w:t>CFR</w:t>
      </w:r>
      <w:r w:rsidRPr="00E462F3">
        <w:rPr>
          <w:rFonts w:cs="Arial"/>
          <w:szCs w:val="24"/>
        </w:rPr>
        <w:t xml:space="preserve"> calculation.</w:t>
      </w:r>
    </w:p>
    <w:p w:rsidR="008F0AA1" w:rsidRPr="005D27DD" w:rsidRDefault="00943C19" w:rsidP="008F0AA1">
      <w:pPr>
        <w:jc w:val="both"/>
        <w:rPr>
          <w:rFonts w:cs="Arial"/>
          <w:b/>
          <w:szCs w:val="24"/>
          <w:highlight w:val="yellow"/>
        </w:rPr>
      </w:pPr>
    </w:p>
    <w:p w:rsidR="008F0AA1" w:rsidRPr="00784E67" w:rsidRDefault="00943C19" w:rsidP="008F0AA1">
      <w:pPr>
        <w:rPr>
          <w:rFonts w:cs="Arial"/>
          <w:b/>
          <w:bCs/>
          <w:color w:val="000000"/>
          <w:szCs w:val="24"/>
          <w:u w:val="single"/>
        </w:rPr>
      </w:pPr>
      <w:r w:rsidRPr="00784E67">
        <w:rPr>
          <w:rFonts w:cs="Arial"/>
          <w:b/>
          <w:bCs/>
          <w:color w:val="000000"/>
          <w:szCs w:val="24"/>
          <w:u w:val="single"/>
        </w:rPr>
        <w:t>Treasury Manageme</w:t>
      </w:r>
      <w:r w:rsidRPr="00784E67">
        <w:rPr>
          <w:rFonts w:cs="Arial"/>
          <w:b/>
          <w:bCs/>
          <w:color w:val="000000"/>
          <w:szCs w:val="24"/>
          <w:u w:val="single"/>
        </w:rPr>
        <w:t>nt Indicators</w:t>
      </w:r>
    </w:p>
    <w:p w:rsidR="008F0AA1" w:rsidRDefault="00943C19" w:rsidP="008F0AA1">
      <w:pPr>
        <w:jc w:val="both"/>
        <w:rPr>
          <w:rFonts w:cs="Arial"/>
          <w:b/>
          <w:szCs w:val="24"/>
          <w:highlight w:val="green"/>
        </w:rPr>
      </w:pPr>
    </w:p>
    <w:p w:rsidR="008F0AA1" w:rsidRDefault="00943C19" w:rsidP="008F0AA1">
      <w:pPr>
        <w:jc w:val="both"/>
        <w:rPr>
          <w:rFonts w:cs="Arial"/>
          <w:color w:val="000000"/>
          <w:szCs w:val="24"/>
        </w:rPr>
      </w:pPr>
      <w:r w:rsidRPr="00784E67">
        <w:rPr>
          <w:rFonts w:cs="Arial"/>
          <w:b/>
          <w:bCs/>
          <w:color w:val="000000"/>
          <w:szCs w:val="24"/>
        </w:rPr>
        <w:t>1. Interest Rate exposure</w:t>
      </w:r>
    </w:p>
    <w:p w:rsidR="008F0AA1" w:rsidRDefault="00943C19" w:rsidP="008F0AA1">
      <w:pPr>
        <w:jc w:val="both"/>
        <w:rPr>
          <w:rFonts w:cs="Arial"/>
          <w:color w:val="000000"/>
          <w:szCs w:val="24"/>
        </w:rPr>
      </w:pPr>
      <w:r w:rsidRPr="00784E67">
        <w:rPr>
          <w:rFonts w:cs="Arial"/>
          <w:color w:val="000000"/>
          <w:szCs w:val="24"/>
        </w:rPr>
        <w:t xml:space="preserve">The limit measures the </w:t>
      </w:r>
      <w:r>
        <w:rPr>
          <w:rFonts w:cs="Arial"/>
          <w:color w:val="000000"/>
          <w:szCs w:val="24"/>
        </w:rPr>
        <w:t>c</w:t>
      </w:r>
      <w:r w:rsidRPr="00784E67">
        <w:rPr>
          <w:rFonts w:cs="Arial"/>
          <w:color w:val="000000"/>
          <w:szCs w:val="24"/>
        </w:rPr>
        <w:t xml:space="preserve">ounty </w:t>
      </w:r>
      <w:r>
        <w:rPr>
          <w:rFonts w:cs="Arial"/>
          <w:color w:val="000000"/>
          <w:szCs w:val="24"/>
        </w:rPr>
        <w:t>c</w:t>
      </w:r>
      <w:r w:rsidRPr="00784E67">
        <w:rPr>
          <w:rFonts w:cs="Arial"/>
          <w:color w:val="000000"/>
          <w:szCs w:val="24"/>
        </w:rPr>
        <w:t>ouncil's exposure to the risk</w:t>
      </w:r>
      <w:r w:rsidRPr="00784E67">
        <w:rPr>
          <w:rFonts w:cs="Arial"/>
          <w:color w:val="000000"/>
          <w:szCs w:val="24"/>
        </w:rPr>
        <w:t xml:space="preserve"> of interest rate movements. The one year impact indicator calculates the theoretical impact on the revenue account of an immediate 1% rise in all interest rates over the course of one financial year.</w:t>
      </w:r>
    </w:p>
    <w:p w:rsidR="008F0AA1" w:rsidRDefault="00943C19" w:rsidP="008F0AA1">
      <w:pPr>
        <w:jc w:val="both"/>
        <w:rPr>
          <w:rFonts w:cs="Arial"/>
          <w:color w:val="000000"/>
          <w:szCs w:val="24"/>
        </w:rPr>
      </w:pPr>
    </w:p>
    <w:tbl>
      <w:tblPr>
        <w:tblW w:w="8926" w:type="dxa"/>
        <w:tblLook w:val="04A0" w:firstRow="1" w:lastRow="0" w:firstColumn="1" w:lastColumn="0" w:noHBand="0" w:noVBand="1"/>
      </w:tblPr>
      <w:tblGrid>
        <w:gridCol w:w="5382"/>
        <w:gridCol w:w="1559"/>
        <w:gridCol w:w="1985"/>
      </w:tblGrid>
      <w:tr w:rsidR="007F00BA" w:rsidTr="008F0AA1">
        <w:trPr>
          <w:trHeight w:val="292"/>
        </w:trPr>
        <w:tc>
          <w:tcPr>
            <w:tcW w:w="5382" w:type="dxa"/>
            <w:tcBorders>
              <w:top w:val="single" w:sz="4" w:space="0" w:color="auto"/>
              <w:left w:val="single" w:sz="4" w:space="0" w:color="auto"/>
              <w:bottom w:val="nil"/>
              <w:right w:val="single" w:sz="4" w:space="0" w:color="auto"/>
            </w:tcBorders>
            <w:shd w:val="clear" w:color="auto" w:fill="auto"/>
            <w:noWrap/>
            <w:vAlign w:val="center"/>
            <w:hideMark/>
          </w:tcPr>
          <w:p w:rsidR="008F0AA1" w:rsidRPr="00784E67" w:rsidRDefault="00943C19" w:rsidP="008F0AA1">
            <w:pPr>
              <w:rPr>
                <w:rFonts w:cs="Arial"/>
                <w:b/>
                <w:bCs/>
                <w:color w:val="000000"/>
                <w:szCs w:val="24"/>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AA1" w:rsidRPr="00E53542" w:rsidRDefault="00943C19" w:rsidP="008F0AA1">
            <w:pPr>
              <w:jc w:val="center"/>
              <w:rPr>
                <w:rFonts w:cs="Arial"/>
                <w:bCs/>
                <w:color w:val="000000"/>
                <w:szCs w:val="24"/>
              </w:rPr>
            </w:pPr>
            <w:r w:rsidRPr="00E53542">
              <w:rPr>
                <w:rFonts w:cs="Arial"/>
                <w:bCs/>
                <w:color w:val="000000"/>
                <w:szCs w:val="24"/>
              </w:rPr>
              <w:t>Upper Limit</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AA1" w:rsidRPr="00784E67" w:rsidRDefault="00943C19" w:rsidP="008F0AA1">
            <w:pPr>
              <w:rPr>
                <w:rFonts w:cs="Arial"/>
                <w:b/>
                <w:bCs/>
                <w:color w:val="000000"/>
                <w:szCs w:val="24"/>
              </w:rPr>
            </w:pPr>
            <w:r w:rsidRPr="00E53542">
              <w:rPr>
                <w:rFonts w:cs="Arial"/>
                <w:color w:val="000000"/>
                <w:szCs w:val="24"/>
              </w:rPr>
              <w:t>30th Nov Actual</w:t>
            </w:r>
          </w:p>
        </w:tc>
      </w:tr>
      <w:tr w:rsidR="007F00BA" w:rsidTr="008F0AA1">
        <w:trPr>
          <w:trHeight w:val="7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8F0AA1" w:rsidRPr="00784E67" w:rsidRDefault="00943C19" w:rsidP="008F0AA1">
            <w:pPr>
              <w:rPr>
                <w:rFonts w:cs="Arial"/>
                <w:color w:val="000000"/>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0AA1" w:rsidRPr="00784E67" w:rsidRDefault="00943C19" w:rsidP="008F0AA1">
            <w:pPr>
              <w:rPr>
                <w:rFonts w:cs="Arial"/>
                <w:b/>
                <w:bCs/>
                <w:color w:val="000000"/>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F0AA1" w:rsidRPr="00784E67" w:rsidRDefault="00943C19" w:rsidP="008F0AA1">
            <w:pPr>
              <w:rPr>
                <w:rFonts w:cs="Arial"/>
                <w:b/>
                <w:bCs/>
                <w:color w:val="000000"/>
                <w:szCs w:val="24"/>
              </w:rPr>
            </w:pPr>
          </w:p>
        </w:tc>
      </w:tr>
      <w:tr w:rsidR="007F00BA" w:rsidTr="008F0AA1">
        <w:trPr>
          <w:trHeight w:val="292"/>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AA1" w:rsidRPr="00784E67" w:rsidRDefault="00943C19" w:rsidP="008F0AA1">
            <w:pPr>
              <w:jc w:val="center"/>
              <w:rPr>
                <w:rFonts w:cs="Arial"/>
                <w:color w:val="000000"/>
                <w:szCs w:val="24"/>
              </w:rPr>
            </w:pPr>
            <w:r w:rsidRPr="00784E67">
              <w:rPr>
                <w:rFonts w:cs="Arial"/>
                <w:color w:val="000000"/>
                <w:szCs w:val="24"/>
              </w:rPr>
              <w:t> </w:t>
            </w:r>
          </w:p>
        </w:tc>
        <w:tc>
          <w:tcPr>
            <w:tcW w:w="1559" w:type="dxa"/>
            <w:tcBorders>
              <w:top w:val="nil"/>
              <w:left w:val="nil"/>
              <w:bottom w:val="single" w:sz="4" w:space="0" w:color="auto"/>
              <w:right w:val="single" w:sz="4" w:space="0" w:color="auto"/>
            </w:tcBorders>
            <w:shd w:val="clear" w:color="auto" w:fill="auto"/>
            <w:noWrap/>
            <w:vAlign w:val="center"/>
            <w:hideMark/>
          </w:tcPr>
          <w:p w:rsidR="008F0AA1" w:rsidRPr="00E53542" w:rsidRDefault="00943C19" w:rsidP="008F0AA1">
            <w:pPr>
              <w:rPr>
                <w:rFonts w:cs="Arial"/>
                <w:bCs/>
                <w:color w:val="000000"/>
                <w:szCs w:val="24"/>
              </w:rPr>
            </w:pPr>
            <w:r w:rsidRPr="00E53542">
              <w:rPr>
                <w:rFonts w:cs="Arial"/>
                <w:bCs/>
                <w:color w:val="000000"/>
                <w:szCs w:val="24"/>
              </w:rPr>
              <w:t>£m</w:t>
            </w:r>
          </w:p>
        </w:tc>
        <w:tc>
          <w:tcPr>
            <w:tcW w:w="1985" w:type="dxa"/>
            <w:tcBorders>
              <w:top w:val="nil"/>
              <w:left w:val="nil"/>
              <w:bottom w:val="single" w:sz="4" w:space="0" w:color="auto"/>
              <w:right w:val="single" w:sz="4" w:space="0" w:color="auto"/>
            </w:tcBorders>
            <w:shd w:val="clear" w:color="auto" w:fill="auto"/>
            <w:noWrap/>
            <w:vAlign w:val="center"/>
            <w:hideMark/>
          </w:tcPr>
          <w:p w:rsidR="008F0AA1" w:rsidRPr="00E53542" w:rsidRDefault="00943C19" w:rsidP="008F0AA1">
            <w:pPr>
              <w:rPr>
                <w:rFonts w:cs="Arial"/>
                <w:bCs/>
                <w:color w:val="000000"/>
                <w:szCs w:val="24"/>
              </w:rPr>
            </w:pPr>
            <w:r w:rsidRPr="00E53542">
              <w:rPr>
                <w:rFonts w:cs="Arial"/>
                <w:bCs/>
                <w:color w:val="000000"/>
                <w:szCs w:val="24"/>
              </w:rPr>
              <w:t>£m</w:t>
            </w:r>
          </w:p>
        </w:tc>
      </w:tr>
      <w:tr w:rsidR="007F00BA" w:rsidTr="008F0AA1">
        <w:trPr>
          <w:trHeight w:val="278"/>
        </w:trPr>
        <w:tc>
          <w:tcPr>
            <w:tcW w:w="53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0AA1" w:rsidRPr="00784E67" w:rsidRDefault="00943C19" w:rsidP="008F0AA1">
            <w:pPr>
              <w:rPr>
                <w:rFonts w:cs="Arial"/>
                <w:color w:val="000000"/>
                <w:szCs w:val="24"/>
              </w:rPr>
            </w:pPr>
            <w:r w:rsidRPr="00784E67">
              <w:rPr>
                <w:rFonts w:cs="Arial"/>
                <w:color w:val="000000"/>
                <w:szCs w:val="24"/>
              </w:rPr>
              <w:t xml:space="preserve">Net </w:t>
            </w:r>
            <w:r w:rsidRPr="00784E67">
              <w:rPr>
                <w:rFonts w:cs="Arial"/>
                <w:color w:val="000000"/>
                <w:szCs w:val="24"/>
              </w:rPr>
              <w:t>Interest Payable – Fixed Rate</w:t>
            </w:r>
          </w:p>
        </w:tc>
        <w:tc>
          <w:tcPr>
            <w:tcW w:w="1559" w:type="dxa"/>
            <w:tcBorders>
              <w:top w:val="nil"/>
              <w:left w:val="nil"/>
              <w:bottom w:val="single" w:sz="4" w:space="0" w:color="auto"/>
              <w:right w:val="single" w:sz="4" w:space="0" w:color="auto"/>
            </w:tcBorders>
            <w:shd w:val="clear" w:color="auto" w:fill="auto"/>
            <w:noWrap/>
            <w:vAlign w:val="center"/>
            <w:hideMark/>
          </w:tcPr>
          <w:p w:rsidR="008F0AA1" w:rsidRPr="00784E67" w:rsidRDefault="00943C19" w:rsidP="008F0AA1">
            <w:pPr>
              <w:jc w:val="right"/>
              <w:rPr>
                <w:rFonts w:cs="Arial"/>
                <w:color w:val="000000"/>
                <w:szCs w:val="24"/>
              </w:rPr>
            </w:pPr>
            <w:r>
              <w:rPr>
                <w:rFonts w:cs="Arial"/>
                <w:color w:val="000000"/>
                <w:szCs w:val="24"/>
              </w:rPr>
              <w:t>50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0AA1" w:rsidRPr="00784E67" w:rsidRDefault="00943C19" w:rsidP="008F0AA1">
            <w:pPr>
              <w:jc w:val="right"/>
              <w:rPr>
                <w:rFonts w:cs="Arial"/>
                <w:color w:val="000000"/>
                <w:szCs w:val="24"/>
              </w:rPr>
            </w:pPr>
            <w:r>
              <w:rPr>
                <w:rFonts w:cs="Arial"/>
                <w:color w:val="000000"/>
              </w:rPr>
              <w:t>9</w:t>
            </w:r>
          </w:p>
        </w:tc>
      </w:tr>
      <w:tr w:rsidR="007F00BA" w:rsidTr="008F0AA1">
        <w:trPr>
          <w:trHeight w:val="278"/>
        </w:trPr>
        <w:tc>
          <w:tcPr>
            <w:tcW w:w="53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0AA1" w:rsidRPr="00784E67" w:rsidRDefault="00943C19" w:rsidP="008F0AA1">
            <w:pPr>
              <w:rPr>
                <w:rFonts w:cs="Arial"/>
                <w:color w:val="000000"/>
                <w:szCs w:val="24"/>
              </w:rPr>
            </w:pPr>
            <w:r w:rsidRPr="00784E67">
              <w:rPr>
                <w:rFonts w:cs="Arial"/>
                <w:color w:val="000000"/>
                <w:szCs w:val="24"/>
              </w:rPr>
              <w:t>Net Interest Payable – Variable Rate</w:t>
            </w:r>
          </w:p>
        </w:tc>
        <w:tc>
          <w:tcPr>
            <w:tcW w:w="1559" w:type="dxa"/>
            <w:tcBorders>
              <w:top w:val="nil"/>
              <w:left w:val="nil"/>
              <w:bottom w:val="single" w:sz="4" w:space="0" w:color="auto"/>
              <w:right w:val="single" w:sz="4" w:space="0" w:color="auto"/>
            </w:tcBorders>
            <w:shd w:val="clear" w:color="auto" w:fill="auto"/>
            <w:noWrap/>
            <w:vAlign w:val="center"/>
            <w:hideMark/>
          </w:tcPr>
          <w:p w:rsidR="008F0AA1" w:rsidRPr="00784E67" w:rsidRDefault="00943C19" w:rsidP="008F0AA1">
            <w:pPr>
              <w:jc w:val="right"/>
              <w:rPr>
                <w:rFonts w:cs="Arial"/>
                <w:color w:val="000000"/>
                <w:szCs w:val="24"/>
              </w:rPr>
            </w:pPr>
            <w:r>
              <w:rPr>
                <w:rFonts w:cs="Arial"/>
                <w:color w:val="000000"/>
                <w:szCs w:val="24"/>
              </w:rPr>
              <w:t>5</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8F0AA1" w:rsidRPr="00784E67" w:rsidRDefault="00943C19" w:rsidP="008F0AA1">
            <w:pPr>
              <w:jc w:val="right"/>
              <w:rPr>
                <w:rFonts w:cs="Arial"/>
                <w:color w:val="000000"/>
                <w:szCs w:val="24"/>
              </w:rPr>
            </w:pPr>
            <w:r>
              <w:rPr>
                <w:rFonts w:cs="Arial"/>
                <w:color w:val="000000"/>
              </w:rPr>
              <w:t>3</w:t>
            </w:r>
          </w:p>
        </w:tc>
      </w:tr>
      <w:tr w:rsidR="007F00BA" w:rsidTr="008F0AA1">
        <w:trPr>
          <w:trHeight w:val="278"/>
        </w:trPr>
        <w:tc>
          <w:tcPr>
            <w:tcW w:w="53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0AA1" w:rsidRPr="00784E67" w:rsidRDefault="00943C19" w:rsidP="008F0AA1">
            <w:pPr>
              <w:rPr>
                <w:rFonts w:cs="Arial"/>
                <w:color w:val="000000"/>
                <w:szCs w:val="24"/>
              </w:rPr>
            </w:pPr>
            <w:r w:rsidRPr="00784E67">
              <w:rPr>
                <w:rFonts w:cs="Arial"/>
                <w:color w:val="000000"/>
                <w:szCs w:val="24"/>
              </w:rPr>
              <w:t>1 year impact of a 1% rise</w:t>
            </w:r>
          </w:p>
        </w:tc>
        <w:tc>
          <w:tcPr>
            <w:tcW w:w="1559" w:type="dxa"/>
            <w:tcBorders>
              <w:top w:val="nil"/>
              <w:left w:val="nil"/>
              <w:bottom w:val="single" w:sz="4" w:space="0" w:color="auto"/>
              <w:right w:val="single" w:sz="4" w:space="0" w:color="auto"/>
            </w:tcBorders>
            <w:shd w:val="clear" w:color="auto" w:fill="auto"/>
            <w:noWrap/>
            <w:vAlign w:val="center"/>
            <w:hideMark/>
          </w:tcPr>
          <w:p w:rsidR="008F0AA1" w:rsidRPr="00784E67" w:rsidRDefault="00943C19" w:rsidP="008F0AA1">
            <w:pPr>
              <w:jc w:val="right"/>
              <w:rPr>
                <w:rFonts w:cs="Arial"/>
                <w:color w:val="000000"/>
                <w:szCs w:val="24"/>
              </w:rPr>
            </w:pPr>
            <w:r>
              <w:rPr>
                <w:rFonts w:cs="Arial"/>
                <w:color w:val="000000"/>
                <w:szCs w:val="24"/>
              </w:rPr>
              <w:t>10</w:t>
            </w:r>
          </w:p>
        </w:tc>
        <w:tc>
          <w:tcPr>
            <w:tcW w:w="1985" w:type="dxa"/>
            <w:tcBorders>
              <w:top w:val="nil"/>
              <w:left w:val="single" w:sz="4" w:space="0" w:color="auto"/>
              <w:bottom w:val="single" w:sz="4" w:space="0" w:color="auto"/>
              <w:right w:val="single" w:sz="4" w:space="0" w:color="auto"/>
            </w:tcBorders>
            <w:shd w:val="clear" w:color="auto" w:fill="auto"/>
            <w:noWrap/>
            <w:vAlign w:val="center"/>
          </w:tcPr>
          <w:p w:rsidR="008F0AA1" w:rsidRPr="00784E67" w:rsidRDefault="00943C19" w:rsidP="008F0AA1">
            <w:pPr>
              <w:jc w:val="right"/>
              <w:rPr>
                <w:rFonts w:cs="Arial"/>
                <w:color w:val="000000"/>
                <w:szCs w:val="24"/>
              </w:rPr>
            </w:pPr>
            <w:r>
              <w:rPr>
                <w:rFonts w:cs="Arial"/>
                <w:color w:val="000000"/>
              </w:rPr>
              <w:t>2</w:t>
            </w:r>
          </w:p>
        </w:tc>
      </w:tr>
    </w:tbl>
    <w:p w:rsidR="008F0AA1" w:rsidRDefault="00943C19" w:rsidP="008F0AA1">
      <w:pPr>
        <w:jc w:val="both"/>
        <w:rPr>
          <w:rFonts w:cs="Arial"/>
          <w:b/>
          <w:szCs w:val="24"/>
          <w:highlight w:val="green"/>
        </w:rPr>
      </w:pPr>
    </w:p>
    <w:p w:rsidR="008E5BBD" w:rsidRDefault="00943C19" w:rsidP="008F0AA1">
      <w:pPr>
        <w:jc w:val="both"/>
        <w:rPr>
          <w:rFonts w:cs="Arial"/>
          <w:b/>
          <w:szCs w:val="24"/>
          <w:highlight w:val="green"/>
        </w:rPr>
      </w:pPr>
    </w:p>
    <w:p w:rsidR="008F0AA1" w:rsidRDefault="00943C19" w:rsidP="008F0AA1">
      <w:pPr>
        <w:jc w:val="both"/>
        <w:rPr>
          <w:rFonts w:cs="Arial"/>
          <w:b/>
          <w:szCs w:val="24"/>
        </w:rPr>
      </w:pPr>
    </w:p>
    <w:p w:rsidR="008F0AA1" w:rsidRPr="00E53542" w:rsidRDefault="00943C19" w:rsidP="008F0AA1">
      <w:pPr>
        <w:jc w:val="both"/>
        <w:rPr>
          <w:rFonts w:cs="Arial"/>
          <w:b/>
          <w:szCs w:val="24"/>
        </w:rPr>
      </w:pPr>
      <w:r w:rsidRPr="00E53542">
        <w:rPr>
          <w:rFonts w:cs="Arial"/>
          <w:b/>
          <w:szCs w:val="24"/>
        </w:rPr>
        <w:t>2. Maturity structure of debt</w:t>
      </w:r>
    </w:p>
    <w:p w:rsidR="008F0AA1" w:rsidRPr="00E53542" w:rsidRDefault="00943C19" w:rsidP="008F0AA1">
      <w:pPr>
        <w:jc w:val="both"/>
        <w:rPr>
          <w:rFonts w:cs="Arial"/>
          <w:szCs w:val="24"/>
          <w:highlight w:val="green"/>
        </w:rPr>
      </w:pPr>
      <w:r w:rsidRPr="00E53542">
        <w:rPr>
          <w:rFonts w:cs="Arial"/>
          <w:szCs w:val="24"/>
        </w:rPr>
        <w:t>The limit on the maturity structure of debt helps control refinancing risk.</w:t>
      </w:r>
    </w:p>
    <w:p w:rsidR="008F0AA1" w:rsidRPr="00784E67" w:rsidRDefault="00943C19" w:rsidP="008F0AA1">
      <w:pPr>
        <w:jc w:val="both"/>
        <w:rPr>
          <w:rFonts w:cs="Arial"/>
          <w:b/>
          <w:szCs w:val="24"/>
        </w:rPr>
      </w:pPr>
    </w:p>
    <w:tbl>
      <w:tblPr>
        <w:tblW w:w="0" w:type="auto"/>
        <w:tblLayout w:type="fixed"/>
        <w:tblLook w:val="04A0" w:firstRow="1" w:lastRow="0" w:firstColumn="1" w:lastColumn="0" w:noHBand="0" w:noVBand="1"/>
      </w:tblPr>
      <w:tblGrid>
        <w:gridCol w:w="5382"/>
        <w:gridCol w:w="1559"/>
        <w:gridCol w:w="2076"/>
      </w:tblGrid>
      <w:tr w:rsidR="007F00BA" w:rsidTr="008F0AA1">
        <w:trPr>
          <w:trHeight w:val="295"/>
        </w:trPr>
        <w:tc>
          <w:tcPr>
            <w:tcW w:w="5382" w:type="dxa"/>
            <w:tcBorders>
              <w:top w:val="single" w:sz="4" w:space="0" w:color="auto"/>
              <w:left w:val="single" w:sz="4" w:space="0" w:color="auto"/>
              <w:bottom w:val="nil"/>
              <w:right w:val="single" w:sz="4" w:space="0" w:color="auto"/>
            </w:tcBorders>
            <w:shd w:val="clear" w:color="auto" w:fill="auto"/>
            <w:noWrap/>
            <w:vAlign w:val="center"/>
          </w:tcPr>
          <w:p w:rsidR="008F0AA1" w:rsidRPr="00784E67" w:rsidRDefault="00943C19" w:rsidP="008F0AA1">
            <w:pPr>
              <w:rPr>
                <w:rFonts w:cs="Arial"/>
                <w:b/>
                <w:bCs/>
                <w:color w:val="000000"/>
                <w:szCs w:val="24"/>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AA1" w:rsidRPr="00E53542" w:rsidRDefault="00943C19" w:rsidP="008F0AA1">
            <w:pPr>
              <w:jc w:val="center"/>
              <w:rPr>
                <w:rFonts w:cs="Arial"/>
                <w:bCs/>
                <w:color w:val="000000"/>
                <w:szCs w:val="24"/>
              </w:rPr>
            </w:pPr>
            <w:r w:rsidRPr="00E53542">
              <w:rPr>
                <w:rFonts w:cs="Arial"/>
                <w:bCs/>
                <w:color w:val="000000"/>
                <w:szCs w:val="24"/>
              </w:rPr>
              <w:t>Upper Limit</w:t>
            </w:r>
          </w:p>
        </w:tc>
        <w:tc>
          <w:tcPr>
            <w:tcW w:w="20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AA1" w:rsidRPr="00E53542" w:rsidRDefault="00943C19" w:rsidP="008F0AA1">
            <w:pPr>
              <w:ind w:left="601" w:right="-611" w:hanging="651"/>
              <w:rPr>
                <w:rFonts w:cs="Arial"/>
                <w:bCs/>
                <w:color w:val="000000"/>
                <w:szCs w:val="24"/>
              </w:rPr>
            </w:pPr>
            <w:r>
              <w:rPr>
                <w:rFonts w:cs="Arial"/>
                <w:bCs/>
                <w:color w:val="000000"/>
                <w:szCs w:val="24"/>
              </w:rPr>
              <w:t xml:space="preserve">  </w:t>
            </w:r>
            <w:r w:rsidRPr="00E53542">
              <w:rPr>
                <w:rFonts w:cs="Arial"/>
                <w:bCs/>
                <w:color w:val="000000"/>
                <w:szCs w:val="24"/>
              </w:rPr>
              <w:t>30th Nov Actual</w:t>
            </w:r>
          </w:p>
        </w:tc>
      </w:tr>
      <w:tr w:rsidR="007F00BA" w:rsidTr="008F0AA1">
        <w:trPr>
          <w:trHeight w:val="132"/>
        </w:trPr>
        <w:tc>
          <w:tcPr>
            <w:tcW w:w="5382" w:type="dxa"/>
            <w:tcBorders>
              <w:top w:val="nil"/>
              <w:left w:val="single" w:sz="4" w:space="0" w:color="auto"/>
              <w:bottom w:val="single" w:sz="4" w:space="0" w:color="auto"/>
              <w:right w:val="single" w:sz="4" w:space="0" w:color="auto"/>
            </w:tcBorders>
            <w:shd w:val="clear" w:color="auto" w:fill="auto"/>
            <w:vAlign w:val="bottom"/>
          </w:tcPr>
          <w:p w:rsidR="008F0AA1" w:rsidRPr="00784E67" w:rsidRDefault="00943C19" w:rsidP="008F0AA1">
            <w:pPr>
              <w:ind w:right="-1811"/>
              <w:rPr>
                <w:rFonts w:cs="Arial"/>
                <w:color w:val="000000"/>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0AA1" w:rsidRPr="00784E67" w:rsidRDefault="00943C19" w:rsidP="008F0AA1">
            <w:pPr>
              <w:rPr>
                <w:rFonts w:cs="Arial"/>
                <w:b/>
                <w:bCs/>
                <w:color w:val="000000"/>
                <w:szCs w:val="24"/>
              </w:rPr>
            </w:pPr>
          </w:p>
        </w:tc>
        <w:tc>
          <w:tcPr>
            <w:tcW w:w="2076" w:type="dxa"/>
            <w:vMerge/>
            <w:tcBorders>
              <w:top w:val="single" w:sz="4" w:space="0" w:color="auto"/>
              <w:left w:val="single" w:sz="4" w:space="0" w:color="auto"/>
              <w:bottom w:val="single" w:sz="4" w:space="0" w:color="auto"/>
              <w:right w:val="single" w:sz="4" w:space="0" w:color="auto"/>
            </w:tcBorders>
            <w:vAlign w:val="center"/>
            <w:hideMark/>
          </w:tcPr>
          <w:p w:rsidR="008F0AA1" w:rsidRPr="00784E67" w:rsidRDefault="00943C19" w:rsidP="008F0AA1">
            <w:pPr>
              <w:rPr>
                <w:rFonts w:cs="Arial"/>
                <w:b/>
                <w:bCs/>
                <w:color w:val="000000"/>
                <w:szCs w:val="24"/>
              </w:rPr>
            </w:pPr>
          </w:p>
        </w:tc>
      </w:tr>
      <w:tr w:rsidR="007F00BA" w:rsidTr="008F0AA1">
        <w:trPr>
          <w:trHeight w:val="281"/>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8F0AA1" w:rsidRPr="00784E67" w:rsidRDefault="00943C19" w:rsidP="008F0AA1">
            <w:pPr>
              <w:rPr>
                <w:rFonts w:cs="Arial"/>
                <w:color w:val="000000"/>
                <w:szCs w:val="24"/>
              </w:rPr>
            </w:pPr>
            <w:r w:rsidRPr="00784E67">
              <w:rPr>
                <w:rFonts w:cs="Arial"/>
                <w:color w:val="000000"/>
                <w:szCs w:val="24"/>
              </w:rPr>
              <w:t>Under 12 months</w:t>
            </w:r>
          </w:p>
        </w:tc>
        <w:tc>
          <w:tcPr>
            <w:tcW w:w="1559" w:type="dxa"/>
            <w:tcBorders>
              <w:top w:val="nil"/>
              <w:left w:val="nil"/>
              <w:bottom w:val="single" w:sz="4" w:space="0" w:color="auto"/>
              <w:right w:val="single" w:sz="4" w:space="0" w:color="auto"/>
            </w:tcBorders>
            <w:shd w:val="clear" w:color="auto" w:fill="auto"/>
            <w:noWrap/>
            <w:vAlign w:val="center"/>
            <w:hideMark/>
          </w:tcPr>
          <w:p w:rsidR="008F0AA1" w:rsidRPr="00784E67" w:rsidRDefault="00943C19" w:rsidP="008F0AA1">
            <w:pPr>
              <w:jc w:val="right"/>
              <w:rPr>
                <w:rFonts w:cs="Arial"/>
                <w:color w:val="000000"/>
                <w:szCs w:val="24"/>
              </w:rPr>
            </w:pPr>
            <w:r w:rsidRPr="00784E67">
              <w:rPr>
                <w:rFonts w:cs="Arial"/>
                <w:color w:val="000000"/>
                <w:szCs w:val="24"/>
              </w:rPr>
              <w:t>75</w:t>
            </w:r>
            <w:r>
              <w:rPr>
                <w:rFonts w:cs="Arial"/>
                <w:color w:val="000000"/>
                <w:szCs w:val="24"/>
              </w:rPr>
              <w:t>%</w:t>
            </w:r>
          </w:p>
        </w:tc>
        <w:tc>
          <w:tcPr>
            <w:tcW w:w="20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0AA1" w:rsidRPr="00784E67" w:rsidRDefault="00943C19" w:rsidP="008F0AA1">
            <w:pPr>
              <w:jc w:val="right"/>
              <w:rPr>
                <w:rFonts w:cs="Arial"/>
                <w:color w:val="000000"/>
                <w:szCs w:val="24"/>
              </w:rPr>
            </w:pPr>
            <w:r>
              <w:rPr>
                <w:rFonts w:cs="Arial"/>
                <w:color w:val="000000"/>
              </w:rPr>
              <w:t>10%</w:t>
            </w:r>
          </w:p>
        </w:tc>
      </w:tr>
      <w:tr w:rsidR="007F00BA" w:rsidTr="008F0AA1">
        <w:trPr>
          <w:trHeight w:val="281"/>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8F0AA1" w:rsidRPr="00784E67" w:rsidRDefault="00943C19" w:rsidP="008F0AA1">
            <w:pPr>
              <w:rPr>
                <w:rFonts w:cs="Arial"/>
                <w:color w:val="000000"/>
                <w:szCs w:val="24"/>
              </w:rPr>
            </w:pPr>
            <w:r w:rsidRPr="00784E67">
              <w:rPr>
                <w:rFonts w:cs="Arial"/>
                <w:color w:val="000000"/>
                <w:szCs w:val="24"/>
              </w:rPr>
              <w:t>12 months and within 2 years</w:t>
            </w:r>
          </w:p>
        </w:tc>
        <w:tc>
          <w:tcPr>
            <w:tcW w:w="1559" w:type="dxa"/>
            <w:tcBorders>
              <w:top w:val="nil"/>
              <w:left w:val="nil"/>
              <w:bottom w:val="single" w:sz="4" w:space="0" w:color="auto"/>
              <w:right w:val="single" w:sz="4" w:space="0" w:color="auto"/>
            </w:tcBorders>
            <w:shd w:val="clear" w:color="auto" w:fill="auto"/>
            <w:noWrap/>
            <w:vAlign w:val="center"/>
            <w:hideMark/>
          </w:tcPr>
          <w:p w:rsidR="008F0AA1" w:rsidRPr="00784E67" w:rsidRDefault="00943C19" w:rsidP="008F0AA1">
            <w:pPr>
              <w:jc w:val="right"/>
              <w:rPr>
                <w:rFonts w:cs="Arial"/>
                <w:color w:val="000000"/>
                <w:szCs w:val="24"/>
              </w:rPr>
            </w:pPr>
            <w:r w:rsidRPr="00784E67">
              <w:rPr>
                <w:rFonts w:cs="Arial"/>
                <w:color w:val="000000"/>
                <w:szCs w:val="24"/>
              </w:rPr>
              <w:t>75</w:t>
            </w:r>
            <w:r>
              <w:rPr>
                <w:rFonts w:cs="Arial"/>
                <w:color w:val="000000"/>
                <w:szCs w:val="24"/>
              </w:rPr>
              <w:t>%</w:t>
            </w:r>
          </w:p>
        </w:tc>
        <w:tc>
          <w:tcPr>
            <w:tcW w:w="2076" w:type="dxa"/>
            <w:tcBorders>
              <w:top w:val="nil"/>
              <w:left w:val="single" w:sz="4" w:space="0" w:color="auto"/>
              <w:bottom w:val="single" w:sz="4" w:space="0" w:color="auto"/>
              <w:right w:val="single" w:sz="4" w:space="0" w:color="auto"/>
            </w:tcBorders>
            <w:shd w:val="clear" w:color="auto" w:fill="auto"/>
            <w:noWrap/>
            <w:vAlign w:val="center"/>
          </w:tcPr>
          <w:p w:rsidR="008F0AA1" w:rsidRPr="00784E67" w:rsidRDefault="00943C19" w:rsidP="008F0AA1">
            <w:pPr>
              <w:jc w:val="right"/>
              <w:rPr>
                <w:rFonts w:cs="Arial"/>
                <w:color w:val="000000"/>
                <w:szCs w:val="24"/>
              </w:rPr>
            </w:pPr>
            <w:r>
              <w:rPr>
                <w:rFonts w:cs="Arial"/>
                <w:color w:val="000000"/>
              </w:rPr>
              <w:t>53%</w:t>
            </w:r>
          </w:p>
        </w:tc>
      </w:tr>
      <w:tr w:rsidR="007F00BA" w:rsidTr="008F0AA1">
        <w:trPr>
          <w:trHeight w:val="281"/>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8F0AA1" w:rsidRPr="00784E67" w:rsidRDefault="00943C19" w:rsidP="008F0AA1">
            <w:pPr>
              <w:rPr>
                <w:rFonts w:cs="Arial"/>
                <w:color w:val="000000"/>
                <w:szCs w:val="24"/>
              </w:rPr>
            </w:pPr>
            <w:r w:rsidRPr="00784E67">
              <w:rPr>
                <w:rFonts w:cs="Arial"/>
                <w:color w:val="000000"/>
                <w:szCs w:val="24"/>
              </w:rPr>
              <w:t>2 years and within 5 years</w:t>
            </w:r>
          </w:p>
        </w:tc>
        <w:tc>
          <w:tcPr>
            <w:tcW w:w="1559" w:type="dxa"/>
            <w:tcBorders>
              <w:top w:val="nil"/>
              <w:left w:val="nil"/>
              <w:bottom w:val="single" w:sz="4" w:space="0" w:color="auto"/>
              <w:right w:val="single" w:sz="4" w:space="0" w:color="auto"/>
            </w:tcBorders>
            <w:shd w:val="clear" w:color="auto" w:fill="auto"/>
            <w:noWrap/>
            <w:vAlign w:val="center"/>
            <w:hideMark/>
          </w:tcPr>
          <w:p w:rsidR="008F0AA1" w:rsidRPr="00784E67" w:rsidRDefault="00943C19" w:rsidP="008F0AA1">
            <w:pPr>
              <w:jc w:val="right"/>
              <w:rPr>
                <w:rFonts w:cs="Arial"/>
                <w:color w:val="000000"/>
                <w:szCs w:val="24"/>
              </w:rPr>
            </w:pPr>
            <w:r>
              <w:rPr>
                <w:rFonts w:cs="Arial"/>
                <w:color w:val="000000"/>
                <w:szCs w:val="24"/>
              </w:rPr>
              <w:t xml:space="preserve"> </w:t>
            </w:r>
            <w:r w:rsidRPr="00784E67">
              <w:rPr>
                <w:rFonts w:cs="Arial"/>
                <w:color w:val="000000"/>
                <w:szCs w:val="24"/>
              </w:rPr>
              <w:t>75</w:t>
            </w:r>
            <w:r>
              <w:rPr>
                <w:rFonts w:cs="Arial"/>
                <w:color w:val="000000"/>
                <w:szCs w:val="24"/>
              </w:rPr>
              <w:t>%</w:t>
            </w:r>
          </w:p>
        </w:tc>
        <w:tc>
          <w:tcPr>
            <w:tcW w:w="2076" w:type="dxa"/>
            <w:tcBorders>
              <w:top w:val="nil"/>
              <w:left w:val="single" w:sz="4" w:space="0" w:color="auto"/>
              <w:bottom w:val="single" w:sz="4" w:space="0" w:color="auto"/>
              <w:right w:val="single" w:sz="4" w:space="0" w:color="auto"/>
            </w:tcBorders>
            <w:shd w:val="clear" w:color="auto" w:fill="auto"/>
            <w:noWrap/>
            <w:vAlign w:val="center"/>
          </w:tcPr>
          <w:p w:rsidR="008F0AA1" w:rsidRPr="00784E67" w:rsidRDefault="00943C19" w:rsidP="008F0AA1">
            <w:pPr>
              <w:jc w:val="right"/>
              <w:rPr>
                <w:rFonts w:cs="Arial"/>
                <w:color w:val="000000"/>
                <w:szCs w:val="24"/>
              </w:rPr>
            </w:pPr>
            <w:r>
              <w:rPr>
                <w:rFonts w:cs="Arial"/>
                <w:color w:val="000000"/>
              </w:rPr>
              <w:t>11%</w:t>
            </w:r>
          </w:p>
        </w:tc>
      </w:tr>
      <w:tr w:rsidR="007F00BA" w:rsidTr="008F0AA1">
        <w:trPr>
          <w:trHeight w:val="281"/>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8F0AA1" w:rsidRPr="00784E67" w:rsidRDefault="00943C19" w:rsidP="008F0AA1">
            <w:pPr>
              <w:rPr>
                <w:rFonts w:cs="Arial"/>
                <w:color w:val="000000"/>
                <w:szCs w:val="24"/>
              </w:rPr>
            </w:pPr>
            <w:r w:rsidRPr="00784E67">
              <w:rPr>
                <w:rFonts w:cs="Arial"/>
                <w:color w:val="000000"/>
                <w:szCs w:val="24"/>
              </w:rPr>
              <w:t>5 years and within 10 years</w:t>
            </w:r>
          </w:p>
        </w:tc>
        <w:tc>
          <w:tcPr>
            <w:tcW w:w="1559" w:type="dxa"/>
            <w:tcBorders>
              <w:top w:val="nil"/>
              <w:left w:val="nil"/>
              <w:bottom w:val="single" w:sz="4" w:space="0" w:color="auto"/>
              <w:right w:val="single" w:sz="4" w:space="0" w:color="auto"/>
            </w:tcBorders>
            <w:shd w:val="clear" w:color="auto" w:fill="auto"/>
            <w:noWrap/>
            <w:vAlign w:val="center"/>
            <w:hideMark/>
          </w:tcPr>
          <w:p w:rsidR="008F0AA1" w:rsidRPr="00784E67" w:rsidRDefault="00943C19" w:rsidP="008F0AA1">
            <w:pPr>
              <w:jc w:val="right"/>
              <w:rPr>
                <w:rFonts w:cs="Arial"/>
                <w:color w:val="000000"/>
                <w:szCs w:val="24"/>
              </w:rPr>
            </w:pPr>
            <w:r w:rsidRPr="00784E67">
              <w:rPr>
                <w:rFonts w:cs="Arial"/>
                <w:color w:val="000000"/>
                <w:szCs w:val="24"/>
              </w:rPr>
              <w:t>75</w:t>
            </w:r>
            <w:r>
              <w:rPr>
                <w:rFonts w:cs="Arial"/>
                <w:color w:val="000000"/>
                <w:szCs w:val="24"/>
              </w:rPr>
              <w:t>%</w:t>
            </w:r>
          </w:p>
        </w:tc>
        <w:tc>
          <w:tcPr>
            <w:tcW w:w="2076" w:type="dxa"/>
            <w:tcBorders>
              <w:top w:val="nil"/>
              <w:left w:val="single" w:sz="4" w:space="0" w:color="auto"/>
              <w:bottom w:val="single" w:sz="4" w:space="0" w:color="auto"/>
              <w:right w:val="single" w:sz="4" w:space="0" w:color="auto"/>
            </w:tcBorders>
            <w:shd w:val="clear" w:color="auto" w:fill="auto"/>
            <w:noWrap/>
            <w:vAlign w:val="center"/>
          </w:tcPr>
          <w:p w:rsidR="008F0AA1" w:rsidRPr="00784E67" w:rsidRDefault="00943C19" w:rsidP="008F0AA1">
            <w:pPr>
              <w:jc w:val="right"/>
              <w:rPr>
                <w:rFonts w:cs="Arial"/>
                <w:color w:val="000000"/>
                <w:szCs w:val="24"/>
              </w:rPr>
            </w:pPr>
            <w:r>
              <w:rPr>
                <w:rFonts w:cs="Arial"/>
                <w:color w:val="000000"/>
              </w:rPr>
              <w:t>7%</w:t>
            </w:r>
          </w:p>
        </w:tc>
      </w:tr>
      <w:tr w:rsidR="007F00BA" w:rsidTr="008F0AA1">
        <w:trPr>
          <w:trHeight w:val="281"/>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8F0AA1" w:rsidRPr="00784E67" w:rsidRDefault="00943C19" w:rsidP="008F0AA1">
            <w:pPr>
              <w:rPr>
                <w:rFonts w:cs="Arial"/>
                <w:color w:val="000000"/>
                <w:szCs w:val="24"/>
              </w:rPr>
            </w:pPr>
            <w:r w:rsidRPr="00784E67">
              <w:rPr>
                <w:rFonts w:cs="Arial"/>
                <w:color w:val="000000"/>
                <w:szCs w:val="24"/>
              </w:rPr>
              <w:t>10 years and above</w:t>
            </w:r>
          </w:p>
        </w:tc>
        <w:tc>
          <w:tcPr>
            <w:tcW w:w="1559" w:type="dxa"/>
            <w:tcBorders>
              <w:top w:val="nil"/>
              <w:left w:val="nil"/>
              <w:bottom w:val="single" w:sz="4" w:space="0" w:color="auto"/>
              <w:right w:val="single" w:sz="4" w:space="0" w:color="auto"/>
            </w:tcBorders>
            <w:shd w:val="clear" w:color="auto" w:fill="auto"/>
            <w:noWrap/>
            <w:vAlign w:val="center"/>
            <w:hideMark/>
          </w:tcPr>
          <w:p w:rsidR="008F0AA1" w:rsidRPr="00784E67" w:rsidRDefault="00943C19" w:rsidP="008F0AA1">
            <w:pPr>
              <w:jc w:val="right"/>
              <w:rPr>
                <w:rFonts w:cs="Arial"/>
                <w:color w:val="000000"/>
                <w:szCs w:val="24"/>
              </w:rPr>
            </w:pPr>
            <w:r w:rsidRPr="00784E67">
              <w:rPr>
                <w:rFonts w:cs="Arial"/>
                <w:color w:val="000000"/>
                <w:szCs w:val="24"/>
              </w:rPr>
              <w:t>50</w:t>
            </w:r>
            <w:r>
              <w:rPr>
                <w:rFonts w:cs="Arial"/>
                <w:color w:val="000000"/>
                <w:szCs w:val="24"/>
              </w:rPr>
              <w:t>%</w:t>
            </w:r>
          </w:p>
        </w:tc>
        <w:tc>
          <w:tcPr>
            <w:tcW w:w="2076" w:type="dxa"/>
            <w:tcBorders>
              <w:top w:val="nil"/>
              <w:left w:val="single" w:sz="4" w:space="0" w:color="auto"/>
              <w:bottom w:val="single" w:sz="4" w:space="0" w:color="auto"/>
              <w:right w:val="single" w:sz="4" w:space="0" w:color="auto"/>
            </w:tcBorders>
            <w:shd w:val="clear" w:color="auto" w:fill="auto"/>
            <w:noWrap/>
            <w:vAlign w:val="center"/>
          </w:tcPr>
          <w:p w:rsidR="008F0AA1" w:rsidRPr="00784E67" w:rsidRDefault="00943C19" w:rsidP="008F0AA1">
            <w:pPr>
              <w:jc w:val="right"/>
              <w:rPr>
                <w:rFonts w:cs="Arial"/>
                <w:color w:val="000000"/>
                <w:szCs w:val="24"/>
              </w:rPr>
            </w:pPr>
            <w:r>
              <w:rPr>
                <w:rFonts w:cs="Arial"/>
                <w:color w:val="000000"/>
              </w:rPr>
              <w:t>19%</w:t>
            </w:r>
          </w:p>
        </w:tc>
      </w:tr>
    </w:tbl>
    <w:p w:rsidR="008F0AA1" w:rsidRDefault="00943C19" w:rsidP="008F0AA1">
      <w:pPr>
        <w:jc w:val="both"/>
        <w:rPr>
          <w:rFonts w:cs="Arial"/>
          <w:b/>
          <w:szCs w:val="24"/>
        </w:rPr>
      </w:pPr>
    </w:p>
    <w:p w:rsidR="008F0AA1" w:rsidRPr="00656DFF" w:rsidRDefault="00943C19" w:rsidP="008F0AA1">
      <w:pPr>
        <w:jc w:val="both"/>
        <w:rPr>
          <w:rFonts w:cs="Arial"/>
          <w:b/>
          <w:szCs w:val="24"/>
        </w:rPr>
      </w:pPr>
      <w:r w:rsidRPr="00656DFF">
        <w:rPr>
          <w:rFonts w:cs="Arial"/>
          <w:b/>
          <w:szCs w:val="24"/>
        </w:rPr>
        <w:t>3. Investments over 364 days</w:t>
      </w:r>
    </w:p>
    <w:p w:rsidR="008F0AA1" w:rsidRPr="00656DFF" w:rsidRDefault="00943C19" w:rsidP="008F0AA1">
      <w:pPr>
        <w:jc w:val="both"/>
        <w:rPr>
          <w:rFonts w:cs="Arial"/>
          <w:szCs w:val="24"/>
        </w:rPr>
      </w:pPr>
      <w:r w:rsidRPr="00656DFF">
        <w:rPr>
          <w:rFonts w:cs="Arial"/>
          <w:szCs w:val="24"/>
        </w:rPr>
        <w:t xml:space="preserve">The limit on the level of long term investments helps to </w:t>
      </w:r>
      <w:r w:rsidRPr="00656DFF">
        <w:rPr>
          <w:rFonts w:cs="Arial"/>
          <w:szCs w:val="24"/>
        </w:rPr>
        <w:t>control liquidity, although the majority of these</w:t>
      </w:r>
      <w:r>
        <w:rPr>
          <w:rFonts w:cs="Arial"/>
          <w:szCs w:val="24"/>
        </w:rPr>
        <w:t xml:space="preserve"> existing</w:t>
      </w:r>
      <w:r w:rsidRPr="00656DFF">
        <w:rPr>
          <w:rFonts w:cs="Arial"/>
          <w:szCs w:val="24"/>
        </w:rPr>
        <w:t xml:space="preserve"> investments are held in available for sale securities.</w:t>
      </w:r>
    </w:p>
    <w:p w:rsidR="008F0AA1" w:rsidRPr="00784E67" w:rsidRDefault="00943C19" w:rsidP="008F0AA1">
      <w:pPr>
        <w:jc w:val="both"/>
        <w:rPr>
          <w:rFonts w:cs="Arial"/>
          <w:b/>
          <w:szCs w:val="24"/>
        </w:rPr>
      </w:pPr>
    </w:p>
    <w:tbl>
      <w:tblPr>
        <w:tblW w:w="9067" w:type="dxa"/>
        <w:tblLook w:val="04A0" w:firstRow="1" w:lastRow="0" w:firstColumn="1" w:lastColumn="0" w:noHBand="0" w:noVBand="1"/>
      </w:tblPr>
      <w:tblGrid>
        <w:gridCol w:w="4815"/>
        <w:gridCol w:w="567"/>
        <w:gridCol w:w="1701"/>
        <w:gridCol w:w="1984"/>
      </w:tblGrid>
      <w:tr w:rsidR="007F00BA" w:rsidTr="008F0AA1">
        <w:trPr>
          <w:trHeight w:val="327"/>
        </w:trPr>
        <w:tc>
          <w:tcPr>
            <w:tcW w:w="5382" w:type="dxa"/>
            <w:gridSpan w:val="2"/>
            <w:tcBorders>
              <w:top w:val="single" w:sz="4" w:space="0" w:color="auto"/>
              <w:left w:val="single" w:sz="4" w:space="0" w:color="auto"/>
              <w:bottom w:val="nil"/>
              <w:right w:val="single" w:sz="4" w:space="0" w:color="auto"/>
            </w:tcBorders>
            <w:shd w:val="clear" w:color="auto" w:fill="auto"/>
            <w:noWrap/>
            <w:vAlign w:val="center"/>
          </w:tcPr>
          <w:p w:rsidR="008F0AA1" w:rsidRPr="00784E67" w:rsidRDefault="00943C19" w:rsidP="008F0AA1">
            <w:pPr>
              <w:rPr>
                <w:rFonts w:cs="Arial"/>
                <w:b/>
                <w:bCs/>
                <w:color w:val="000000"/>
                <w:szCs w:val="24"/>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AA1" w:rsidRPr="00656DFF" w:rsidRDefault="00943C19" w:rsidP="008F0AA1">
            <w:pPr>
              <w:jc w:val="center"/>
              <w:rPr>
                <w:rFonts w:cs="Arial"/>
                <w:bCs/>
                <w:color w:val="000000"/>
                <w:szCs w:val="24"/>
              </w:rPr>
            </w:pPr>
            <w:r w:rsidRPr="00656DFF">
              <w:rPr>
                <w:rFonts w:cs="Arial"/>
                <w:bCs/>
                <w:color w:val="000000"/>
                <w:szCs w:val="24"/>
              </w:rPr>
              <w:t>Upper Limit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AA1" w:rsidRPr="00656DFF" w:rsidRDefault="00943C19" w:rsidP="008F0AA1">
            <w:pPr>
              <w:jc w:val="center"/>
              <w:rPr>
                <w:rFonts w:cs="Arial"/>
                <w:bCs/>
                <w:color w:val="000000"/>
                <w:szCs w:val="24"/>
              </w:rPr>
            </w:pPr>
            <w:r w:rsidRPr="00E53542">
              <w:rPr>
                <w:rFonts w:cs="Arial"/>
                <w:bCs/>
                <w:color w:val="000000"/>
                <w:szCs w:val="24"/>
              </w:rPr>
              <w:t>30th Nov Actual</w:t>
            </w:r>
          </w:p>
        </w:tc>
      </w:tr>
      <w:tr w:rsidR="007F00BA" w:rsidTr="008F0AA1">
        <w:trPr>
          <w:trHeight w:val="210"/>
        </w:trPr>
        <w:tc>
          <w:tcPr>
            <w:tcW w:w="5382" w:type="dxa"/>
            <w:gridSpan w:val="2"/>
            <w:tcBorders>
              <w:top w:val="nil"/>
              <w:left w:val="single" w:sz="4" w:space="0" w:color="auto"/>
              <w:bottom w:val="single" w:sz="4" w:space="0" w:color="auto"/>
              <w:right w:val="single" w:sz="4" w:space="0" w:color="auto"/>
            </w:tcBorders>
            <w:shd w:val="clear" w:color="auto" w:fill="auto"/>
            <w:vAlign w:val="center"/>
          </w:tcPr>
          <w:p w:rsidR="008F0AA1" w:rsidRPr="00784E67" w:rsidRDefault="00943C19" w:rsidP="008F0AA1">
            <w:pPr>
              <w:rPr>
                <w:rFonts w:cs="Arial"/>
                <w:color w:val="000000"/>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0AA1" w:rsidRPr="00784E67" w:rsidRDefault="00943C19" w:rsidP="008F0AA1">
            <w:pPr>
              <w:rPr>
                <w:rFonts w:cs="Arial"/>
                <w:b/>
                <w:bCs/>
                <w:color w:val="000000"/>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F0AA1" w:rsidRPr="00784E67" w:rsidRDefault="00943C19" w:rsidP="008F0AA1">
            <w:pPr>
              <w:rPr>
                <w:rFonts w:cs="Arial"/>
                <w:b/>
                <w:bCs/>
                <w:color w:val="000000"/>
                <w:szCs w:val="24"/>
              </w:rPr>
            </w:pPr>
          </w:p>
        </w:tc>
      </w:tr>
      <w:tr w:rsidR="007F00BA" w:rsidTr="008F0AA1">
        <w:trPr>
          <w:trHeight w:val="327"/>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AA1" w:rsidRPr="00784E67" w:rsidRDefault="00943C19" w:rsidP="008F0AA1">
            <w:pPr>
              <w:rPr>
                <w:rFonts w:cs="Arial"/>
                <w:color w:val="000000"/>
                <w:szCs w:val="24"/>
              </w:rPr>
            </w:pPr>
            <w:r w:rsidRPr="00784E67">
              <w:rPr>
                <w:rFonts w:cs="Arial"/>
                <w:color w:val="000000"/>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8F0AA1" w:rsidRPr="00656DFF" w:rsidRDefault="00943C19" w:rsidP="008F0AA1">
            <w:pPr>
              <w:rPr>
                <w:rFonts w:cs="Arial"/>
                <w:bCs/>
                <w:color w:val="000000"/>
                <w:szCs w:val="24"/>
              </w:rPr>
            </w:pPr>
            <w:r w:rsidRPr="00656DFF">
              <w:rPr>
                <w:rFonts w:cs="Arial"/>
                <w:bCs/>
                <w:color w:val="000000"/>
                <w:szCs w:val="24"/>
              </w:rPr>
              <w:t>£m</w:t>
            </w:r>
          </w:p>
        </w:tc>
        <w:tc>
          <w:tcPr>
            <w:tcW w:w="1984" w:type="dxa"/>
            <w:tcBorders>
              <w:top w:val="nil"/>
              <w:left w:val="nil"/>
              <w:bottom w:val="single" w:sz="4" w:space="0" w:color="auto"/>
              <w:right w:val="single" w:sz="4" w:space="0" w:color="auto"/>
            </w:tcBorders>
            <w:shd w:val="clear" w:color="auto" w:fill="auto"/>
            <w:noWrap/>
            <w:vAlign w:val="center"/>
            <w:hideMark/>
          </w:tcPr>
          <w:p w:rsidR="008F0AA1" w:rsidRPr="00656DFF" w:rsidRDefault="00943C19" w:rsidP="008F0AA1">
            <w:pPr>
              <w:rPr>
                <w:rFonts w:cs="Arial"/>
                <w:bCs/>
                <w:color w:val="000000"/>
                <w:szCs w:val="24"/>
              </w:rPr>
            </w:pPr>
            <w:r w:rsidRPr="00656DFF">
              <w:rPr>
                <w:rFonts w:cs="Arial"/>
                <w:bCs/>
                <w:color w:val="000000"/>
                <w:szCs w:val="24"/>
              </w:rPr>
              <w:t>£m</w:t>
            </w:r>
          </w:p>
        </w:tc>
      </w:tr>
      <w:tr w:rsidR="007F00BA" w:rsidTr="008F0AA1">
        <w:trPr>
          <w:trHeight w:val="312"/>
        </w:trPr>
        <w:tc>
          <w:tcPr>
            <w:tcW w:w="4815" w:type="dxa"/>
            <w:tcBorders>
              <w:top w:val="nil"/>
              <w:left w:val="single" w:sz="4" w:space="0" w:color="auto"/>
              <w:bottom w:val="single" w:sz="4" w:space="0" w:color="auto"/>
              <w:right w:val="nil"/>
            </w:tcBorders>
            <w:shd w:val="clear" w:color="auto" w:fill="auto"/>
            <w:noWrap/>
            <w:vAlign w:val="bottom"/>
            <w:hideMark/>
          </w:tcPr>
          <w:p w:rsidR="008F0AA1" w:rsidRPr="00784E67" w:rsidRDefault="00943C19" w:rsidP="008F0AA1">
            <w:pPr>
              <w:rPr>
                <w:rFonts w:cs="Arial"/>
                <w:color w:val="000000"/>
                <w:szCs w:val="24"/>
              </w:rPr>
            </w:pPr>
            <w:r w:rsidRPr="00784E67">
              <w:rPr>
                <w:rFonts w:cs="Arial"/>
                <w:color w:val="000000"/>
                <w:szCs w:val="24"/>
              </w:rPr>
              <w:t>Long term Investment Limit</w:t>
            </w:r>
          </w:p>
        </w:tc>
        <w:tc>
          <w:tcPr>
            <w:tcW w:w="567" w:type="dxa"/>
            <w:tcBorders>
              <w:top w:val="nil"/>
              <w:left w:val="nil"/>
              <w:bottom w:val="single" w:sz="4" w:space="0" w:color="auto"/>
              <w:right w:val="single" w:sz="4" w:space="0" w:color="auto"/>
            </w:tcBorders>
            <w:shd w:val="clear" w:color="auto" w:fill="auto"/>
            <w:noWrap/>
            <w:vAlign w:val="bottom"/>
            <w:hideMark/>
          </w:tcPr>
          <w:p w:rsidR="008F0AA1" w:rsidRPr="00784E67" w:rsidRDefault="00943C19" w:rsidP="008F0AA1">
            <w:pPr>
              <w:rPr>
                <w:rFonts w:cs="Arial"/>
                <w:color w:val="000000"/>
                <w:szCs w:val="24"/>
              </w:rPr>
            </w:pPr>
            <w:r w:rsidRPr="00784E67">
              <w:rPr>
                <w:rFonts w:cs="Arial"/>
                <w:color w:val="000000"/>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rsidR="008F0AA1" w:rsidRPr="00784E67" w:rsidRDefault="00943C19" w:rsidP="008F0AA1">
            <w:pPr>
              <w:jc w:val="right"/>
              <w:rPr>
                <w:rFonts w:cs="Arial"/>
                <w:color w:val="000000"/>
                <w:szCs w:val="24"/>
              </w:rPr>
            </w:pPr>
            <w:r w:rsidRPr="00784E67">
              <w:rPr>
                <w:rFonts w:cs="Arial"/>
                <w:color w:val="000000"/>
                <w:szCs w:val="24"/>
              </w:rPr>
              <w:t>450</w:t>
            </w:r>
          </w:p>
        </w:tc>
        <w:tc>
          <w:tcPr>
            <w:tcW w:w="1984" w:type="dxa"/>
            <w:tcBorders>
              <w:top w:val="nil"/>
              <w:left w:val="nil"/>
              <w:bottom w:val="single" w:sz="4" w:space="0" w:color="auto"/>
              <w:right w:val="single" w:sz="4" w:space="0" w:color="auto"/>
            </w:tcBorders>
            <w:shd w:val="clear" w:color="auto" w:fill="auto"/>
            <w:noWrap/>
            <w:vAlign w:val="center"/>
            <w:hideMark/>
          </w:tcPr>
          <w:p w:rsidR="008F0AA1" w:rsidRPr="00784E67" w:rsidRDefault="00943C19" w:rsidP="008F0AA1">
            <w:pPr>
              <w:jc w:val="right"/>
              <w:rPr>
                <w:rFonts w:cs="Arial"/>
                <w:color w:val="000000"/>
                <w:szCs w:val="24"/>
              </w:rPr>
            </w:pPr>
            <w:r>
              <w:rPr>
                <w:rFonts w:cs="Arial"/>
                <w:color w:val="000000"/>
                <w:szCs w:val="24"/>
              </w:rPr>
              <w:t>412</w:t>
            </w:r>
          </w:p>
        </w:tc>
      </w:tr>
    </w:tbl>
    <w:p w:rsidR="008F0AA1" w:rsidRPr="00784E67" w:rsidRDefault="00943C19" w:rsidP="008F0AA1">
      <w:pPr>
        <w:jc w:val="both"/>
        <w:rPr>
          <w:rFonts w:cs="Arial"/>
          <w:b/>
          <w:szCs w:val="24"/>
        </w:rPr>
      </w:pPr>
    </w:p>
    <w:p w:rsidR="008F0AA1" w:rsidRPr="00656DFF" w:rsidRDefault="00943C19" w:rsidP="008F0AA1">
      <w:pPr>
        <w:jc w:val="both"/>
        <w:rPr>
          <w:rFonts w:cs="Arial"/>
          <w:b/>
          <w:szCs w:val="24"/>
        </w:rPr>
      </w:pPr>
      <w:r w:rsidRPr="00656DFF">
        <w:rPr>
          <w:rFonts w:cs="Arial"/>
          <w:b/>
          <w:szCs w:val="24"/>
        </w:rPr>
        <w:t>4. Minimum Average Credit Rating</w:t>
      </w:r>
    </w:p>
    <w:p w:rsidR="008F0AA1" w:rsidRPr="00656DFF" w:rsidRDefault="00943C19" w:rsidP="008F0AA1">
      <w:pPr>
        <w:jc w:val="both"/>
        <w:rPr>
          <w:rFonts w:cs="Arial"/>
          <w:szCs w:val="24"/>
        </w:rPr>
      </w:pPr>
      <w:r>
        <w:rPr>
          <w:rFonts w:cs="Arial"/>
          <w:szCs w:val="24"/>
        </w:rPr>
        <w:t>To control credit risk the</w:t>
      </w:r>
      <w:r>
        <w:rPr>
          <w:rFonts w:cs="Arial"/>
          <w:szCs w:val="24"/>
        </w:rPr>
        <w:t xml:space="preserve"> county c</w:t>
      </w:r>
      <w:r w:rsidRPr="00656DFF">
        <w:rPr>
          <w:rFonts w:cs="Arial"/>
          <w:szCs w:val="24"/>
        </w:rPr>
        <w:t>ouncil requires a very high credit rating from its treasury counterparties.</w:t>
      </w:r>
    </w:p>
    <w:p w:rsidR="008F0AA1" w:rsidRPr="00784E67" w:rsidRDefault="00943C19" w:rsidP="008F0AA1">
      <w:pPr>
        <w:jc w:val="both"/>
        <w:rPr>
          <w:rFonts w:cs="Arial"/>
          <w:b/>
          <w:szCs w:val="24"/>
        </w:rPr>
      </w:pPr>
    </w:p>
    <w:tbl>
      <w:tblPr>
        <w:tblW w:w="9072" w:type="dxa"/>
        <w:tblInd w:w="-5" w:type="dxa"/>
        <w:tblLook w:val="04A0" w:firstRow="1" w:lastRow="0" w:firstColumn="1" w:lastColumn="0" w:noHBand="0" w:noVBand="1"/>
      </w:tblPr>
      <w:tblGrid>
        <w:gridCol w:w="4540"/>
        <w:gridCol w:w="847"/>
        <w:gridCol w:w="533"/>
        <w:gridCol w:w="1168"/>
        <w:gridCol w:w="372"/>
        <w:gridCol w:w="1612"/>
      </w:tblGrid>
      <w:tr w:rsidR="007F00BA" w:rsidTr="008F0AA1">
        <w:trPr>
          <w:trHeight w:val="311"/>
        </w:trPr>
        <w:tc>
          <w:tcPr>
            <w:tcW w:w="5387" w:type="dxa"/>
            <w:gridSpan w:val="2"/>
            <w:tcBorders>
              <w:top w:val="single" w:sz="4" w:space="0" w:color="auto"/>
              <w:left w:val="single" w:sz="4" w:space="0" w:color="auto"/>
              <w:bottom w:val="nil"/>
              <w:right w:val="single" w:sz="4" w:space="0" w:color="auto"/>
            </w:tcBorders>
            <w:shd w:val="clear" w:color="auto" w:fill="auto"/>
            <w:noWrap/>
            <w:vAlign w:val="center"/>
          </w:tcPr>
          <w:p w:rsidR="008F0AA1" w:rsidRPr="00784E67" w:rsidRDefault="00943C19" w:rsidP="008F0AA1">
            <w:pPr>
              <w:rPr>
                <w:rFonts w:cs="Arial"/>
                <w:b/>
                <w:bCs/>
                <w:color w:val="000000"/>
                <w:szCs w:val="24"/>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AA1" w:rsidRPr="00656DFF" w:rsidRDefault="00943C19" w:rsidP="008F0AA1">
            <w:pPr>
              <w:jc w:val="center"/>
              <w:rPr>
                <w:rFonts w:cs="Arial"/>
                <w:bCs/>
                <w:color w:val="000000"/>
                <w:szCs w:val="24"/>
              </w:rPr>
            </w:pPr>
            <w:r w:rsidRPr="00656DFF">
              <w:rPr>
                <w:rFonts w:cs="Arial"/>
                <w:bCs/>
                <w:color w:val="000000"/>
                <w:szCs w:val="24"/>
              </w:rPr>
              <w:t>Benchmark</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AA1" w:rsidRPr="00656DFF" w:rsidRDefault="00943C19" w:rsidP="008F0AA1">
            <w:pPr>
              <w:jc w:val="center"/>
              <w:rPr>
                <w:rFonts w:cs="Arial"/>
                <w:bCs/>
                <w:color w:val="000000"/>
                <w:szCs w:val="24"/>
              </w:rPr>
            </w:pPr>
            <w:r w:rsidRPr="00E53542">
              <w:rPr>
                <w:rFonts w:cs="Arial"/>
                <w:bCs/>
                <w:color w:val="000000"/>
                <w:szCs w:val="24"/>
              </w:rPr>
              <w:t>30th Nov Actual</w:t>
            </w:r>
          </w:p>
        </w:tc>
      </w:tr>
      <w:tr w:rsidR="007F00BA" w:rsidTr="008F0AA1">
        <w:trPr>
          <w:trHeight w:val="247"/>
        </w:trPr>
        <w:tc>
          <w:tcPr>
            <w:tcW w:w="5387" w:type="dxa"/>
            <w:gridSpan w:val="2"/>
            <w:tcBorders>
              <w:top w:val="nil"/>
              <w:left w:val="single" w:sz="4" w:space="0" w:color="auto"/>
              <w:bottom w:val="single" w:sz="4" w:space="0" w:color="auto"/>
              <w:right w:val="single" w:sz="4" w:space="0" w:color="auto"/>
            </w:tcBorders>
            <w:shd w:val="clear" w:color="auto" w:fill="auto"/>
            <w:vAlign w:val="center"/>
          </w:tcPr>
          <w:p w:rsidR="008F0AA1" w:rsidRPr="00784E67" w:rsidRDefault="00943C19" w:rsidP="008F0AA1">
            <w:pPr>
              <w:rPr>
                <w:rFonts w:cs="Arial"/>
                <w:color w:val="000000"/>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8F0AA1" w:rsidRPr="00784E67" w:rsidRDefault="00943C19" w:rsidP="008F0AA1">
            <w:pPr>
              <w:rPr>
                <w:rFonts w:cs="Arial"/>
                <w:b/>
                <w:bCs/>
                <w:color w:val="000000"/>
                <w:szCs w:val="24"/>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8F0AA1" w:rsidRPr="00784E67" w:rsidRDefault="00943C19" w:rsidP="008F0AA1">
            <w:pPr>
              <w:rPr>
                <w:rFonts w:cs="Arial"/>
                <w:b/>
                <w:bCs/>
                <w:color w:val="000000"/>
                <w:szCs w:val="24"/>
              </w:rPr>
            </w:pPr>
          </w:p>
        </w:tc>
      </w:tr>
      <w:tr w:rsidR="007F00BA" w:rsidTr="008F0AA1">
        <w:trPr>
          <w:trHeight w:val="297"/>
        </w:trPr>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AA1" w:rsidRPr="00784E67" w:rsidRDefault="00943C19" w:rsidP="008F0AA1">
            <w:pPr>
              <w:rPr>
                <w:rFonts w:cs="Arial"/>
                <w:color w:val="000000"/>
                <w:szCs w:val="24"/>
              </w:rPr>
            </w:pPr>
            <w:r w:rsidRPr="00784E67">
              <w:rPr>
                <w:rFonts w:cs="Arial"/>
                <w:color w:val="000000"/>
                <w:szCs w:val="24"/>
              </w:rPr>
              <w:t>Average counterparty credit rating</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8F0AA1" w:rsidRPr="00784E67" w:rsidRDefault="00943C19" w:rsidP="008F0AA1">
            <w:pPr>
              <w:jc w:val="center"/>
              <w:rPr>
                <w:rFonts w:cs="Arial"/>
                <w:color w:val="000000"/>
                <w:szCs w:val="24"/>
              </w:rPr>
            </w:pPr>
            <w:r w:rsidRPr="00784E67">
              <w:rPr>
                <w:rFonts w:cs="Arial"/>
                <w:color w:val="000000"/>
                <w:szCs w:val="24"/>
              </w:rPr>
              <w:t>A+</w:t>
            </w:r>
          </w:p>
        </w:tc>
        <w:tc>
          <w:tcPr>
            <w:tcW w:w="1984" w:type="dxa"/>
            <w:gridSpan w:val="2"/>
            <w:tcBorders>
              <w:top w:val="nil"/>
              <w:left w:val="nil"/>
              <w:bottom w:val="single" w:sz="4" w:space="0" w:color="auto"/>
              <w:right w:val="single" w:sz="4" w:space="0" w:color="auto"/>
            </w:tcBorders>
            <w:shd w:val="clear" w:color="auto" w:fill="auto"/>
            <w:noWrap/>
            <w:vAlign w:val="center"/>
            <w:hideMark/>
          </w:tcPr>
          <w:p w:rsidR="008F0AA1" w:rsidRPr="00784E67" w:rsidRDefault="00943C19" w:rsidP="008F0AA1">
            <w:pPr>
              <w:jc w:val="center"/>
              <w:rPr>
                <w:rFonts w:cs="Arial"/>
                <w:color w:val="000000"/>
                <w:szCs w:val="24"/>
              </w:rPr>
            </w:pPr>
            <w:r w:rsidRPr="00784E67">
              <w:rPr>
                <w:rFonts w:cs="Arial"/>
                <w:color w:val="000000"/>
                <w:szCs w:val="24"/>
              </w:rPr>
              <w:t>AA+</w:t>
            </w:r>
          </w:p>
        </w:tc>
      </w:tr>
      <w:tr w:rsidR="007F00BA" w:rsidTr="008F0AA1">
        <w:trPr>
          <w:trHeight w:val="315"/>
        </w:trPr>
        <w:tc>
          <w:tcPr>
            <w:tcW w:w="4540" w:type="dxa"/>
            <w:tcBorders>
              <w:top w:val="nil"/>
              <w:left w:val="nil"/>
              <w:bottom w:val="nil"/>
              <w:right w:val="nil"/>
            </w:tcBorders>
            <w:shd w:val="clear" w:color="auto" w:fill="auto"/>
            <w:noWrap/>
            <w:vAlign w:val="center"/>
            <w:hideMark/>
          </w:tcPr>
          <w:p w:rsidR="008F0AA1" w:rsidRPr="00784E67" w:rsidRDefault="00943C19" w:rsidP="008F0AA1">
            <w:pPr>
              <w:rPr>
                <w:rFonts w:cs="Arial"/>
                <w:b/>
                <w:bCs/>
                <w:color w:val="000000"/>
                <w:szCs w:val="24"/>
                <w:u w:val="single"/>
              </w:rPr>
            </w:pPr>
          </w:p>
        </w:tc>
        <w:tc>
          <w:tcPr>
            <w:tcW w:w="1380" w:type="dxa"/>
            <w:gridSpan w:val="2"/>
            <w:tcBorders>
              <w:top w:val="nil"/>
              <w:left w:val="nil"/>
              <w:bottom w:val="nil"/>
              <w:right w:val="nil"/>
            </w:tcBorders>
            <w:shd w:val="clear" w:color="auto" w:fill="auto"/>
            <w:noWrap/>
            <w:vAlign w:val="center"/>
            <w:hideMark/>
          </w:tcPr>
          <w:p w:rsidR="008F0AA1" w:rsidRPr="00784E67" w:rsidRDefault="00943C19" w:rsidP="008F0AA1">
            <w:pPr>
              <w:rPr>
                <w:rFonts w:cs="Arial"/>
                <w:b/>
                <w:bCs/>
                <w:color w:val="000000"/>
                <w:szCs w:val="24"/>
                <w:u w:val="single"/>
              </w:rPr>
            </w:pPr>
          </w:p>
        </w:tc>
        <w:tc>
          <w:tcPr>
            <w:tcW w:w="1540" w:type="dxa"/>
            <w:gridSpan w:val="2"/>
            <w:tcBorders>
              <w:top w:val="nil"/>
              <w:left w:val="nil"/>
              <w:bottom w:val="nil"/>
              <w:right w:val="nil"/>
            </w:tcBorders>
            <w:shd w:val="clear" w:color="auto" w:fill="auto"/>
            <w:noWrap/>
            <w:vAlign w:val="bottom"/>
            <w:hideMark/>
          </w:tcPr>
          <w:p w:rsidR="008F0AA1" w:rsidRPr="00784E67" w:rsidRDefault="00943C19" w:rsidP="008F0AA1">
            <w:pPr>
              <w:jc w:val="center"/>
              <w:rPr>
                <w:rFonts w:ascii="Times New Roman" w:hAnsi="Times New Roman"/>
                <w:sz w:val="20"/>
              </w:rPr>
            </w:pPr>
          </w:p>
        </w:tc>
        <w:tc>
          <w:tcPr>
            <w:tcW w:w="1612" w:type="dxa"/>
            <w:tcBorders>
              <w:top w:val="nil"/>
              <w:left w:val="nil"/>
              <w:bottom w:val="nil"/>
              <w:right w:val="nil"/>
            </w:tcBorders>
            <w:shd w:val="clear" w:color="auto" w:fill="auto"/>
            <w:noWrap/>
            <w:vAlign w:val="bottom"/>
            <w:hideMark/>
          </w:tcPr>
          <w:p w:rsidR="008F0AA1" w:rsidRPr="00784E67" w:rsidRDefault="00943C19" w:rsidP="008F0AA1">
            <w:pPr>
              <w:jc w:val="center"/>
              <w:rPr>
                <w:rFonts w:ascii="Times New Roman" w:hAnsi="Times New Roman"/>
                <w:sz w:val="20"/>
              </w:rPr>
            </w:pPr>
          </w:p>
        </w:tc>
      </w:tr>
    </w:tbl>
    <w:p w:rsidR="008F0AA1" w:rsidRPr="008337AA" w:rsidRDefault="00943C19" w:rsidP="008F0AA1">
      <w:pPr>
        <w:jc w:val="both"/>
        <w:rPr>
          <w:rFonts w:cs="Arial"/>
          <w:b/>
          <w:sz w:val="96"/>
          <w:szCs w:val="96"/>
          <w:u w:val="single"/>
        </w:rPr>
      </w:pPr>
    </w:p>
    <w:sectPr w:rsidR="008F0AA1" w:rsidRPr="008337AA" w:rsidSect="008F0AA1">
      <w:headerReference w:type="default" r:id="rId9"/>
      <w:footerReference w:type="default" r:id="rId10"/>
      <w:footerReference w:type="first" r:id="rId11"/>
      <w:type w:val="continuous"/>
      <w:pgSz w:w="11907" w:h="16840" w:code="9"/>
      <w:pgMar w:top="1134" w:right="1440" w:bottom="1440" w:left="1440" w:header="706" w:footer="7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43C19">
      <w:r>
        <w:separator/>
      </w:r>
    </w:p>
  </w:endnote>
  <w:endnote w:type="continuationSeparator" w:id="0">
    <w:p w:rsidR="00000000" w:rsidRDefault="0094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AA1" w:rsidRDefault="00943C19">
    <w:pPr>
      <w:pStyle w:val="Footer"/>
      <w:jc w:val="center"/>
    </w:pPr>
  </w:p>
  <w:p w:rsidR="008F0AA1" w:rsidRDefault="00943C19">
    <w:pPr>
      <w:pStyle w:val="Footer"/>
      <w:tabs>
        <w:tab w:val="clear" w:pos="4153"/>
      </w:tabs>
      <w:ind w:right="-4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AA1" w:rsidRDefault="00943C19">
    <w:pPr>
      <w:pStyle w:val="Footer"/>
      <w:jc w:val="center"/>
    </w:pPr>
  </w:p>
  <w:p w:rsidR="008F0AA1" w:rsidRDefault="00943C19">
    <w:pPr>
      <w:pStyle w:val="Footer"/>
      <w:tabs>
        <w:tab w:val="clear" w:pos="4153"/>
      </w:tabs>
      <w:ind w:right="-4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43C19">
      <w:r>
        <w:separator/>
      </w:r>
    </w:p>
  </w:footnote>
  <w:footnote w:type="continuationSeparator" w:id="0">
    <w:p w:rsidR="00000000" w:rsidRDefault="00943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AA1" w:rsidRDefault="00943C19">
    <w:pPr>
      <w:pStyle w:val="Header"/>
      <w:jc w:val="cent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4F7A"/>
    <w:multiLevelType w:val="hybridMultilevel"/>
    <w:tmpl w:val="81E26108"/>
    <w:lvl w:ilvl="0" w:tplc="6176516E">
      <w:start w:val="1"/>
      <w:numFmt w:val="bullet"/>
      <w:lvlText w:val=""/>
      <w:lvlJc w:val="left"/>
      <w:pPr>
        <w:ind w:left="1485" w:hanging="360"/>
      </w:pPr>
      <w:rPr>
        <w:rFonts w:ascii="Symbol" w:hAnsi="Symbol" w:hint="default"/>
      </w:rPr>
    </w:lvl>
    <w:lvl w:ilvl="1" w:tplc="67720810" w:tentative="1">
      <w:start w:val="1"/>
      <w:numFmt w:val="bullet"/>
      <w:lvlText w:val="o"/>
      <w:lvlJc w:val="left"/>
      <w:pPr>
        <w:ind w:left="2205" w:hanging="360"/>
      </w:pPr>
      <w:rPr>
        <w:rFonts w:ascii="Courier New" w:hAnsi="Courier New" w:hint="default"/>
      </w:rPr>
    </w:lvl>
    <w:lvl w:ilvl="2" w:tplc="AEA0B018" w:tentative="1">
      <w:start w:val="1"/>
      <w:numFmt w:val="bullet"/>
      <w:lvlText w:val=""/>
      <w:lvlJc w:val="left"/>
      <w:pPr>
        <w:ind w:left="2925" w:hanging="360"/>
      </w:pPr>
      <w:rPr>
        <w:rFonts w:ascii="Wingdings" w:hAnsi="Wingdings" w:hint="default"/>
      </w:rPr>
    </w:lvl>
    <w:lvl w:ilvl="3" w:tplc="FCEE009E" w:tentative="1">
      <w:start w:val="1"/>
      <w:numFmt w:val="bullet"/>
      <w:lvlText w:val=""/>
      <w:lvlJc w:val="left"/>
      <w:pPr>
        <w:ind w:left="3645" w:hanging="360"/>
      </w:pPr>
      <w:rPr>
        <w:rFonts w:ascii="Symbol" w:hAnsi="Symbol" w:hint="default"/>
      </w:rPr>
    </w:lvl>
    <w:lvl w:ilvl="4" w:tplc="F640A668" w:tentative="1">
      <w:start w:val="1"/>
      <w:numFmt w:val="bullet"/>
      <w:lvlText w:val="o"/>
      <w:lvlJc w:val="left"/>
      <w:pPr>
        <w:ind w:left="4365" w:hanging="360"/>
      </w:pPr>
      <w:rPr>
        <w:rFonts w:ascii="Courier New" w:hAnsi="Courier New" w:hint="default"/>
      </w:rPr>
    </w:lvl>
    <w:lvl w:ilvl="5" w:tplc="5008D30A" w:tentative="1">
      <w:start w:val="1"/>
      <w:numFmt w:val="bullet"/>
      <w:lvlText w:val=""/>
      <w:lvlJc w:val="left"/>
      <w:pPr>
        <w:ind w:left="5085" w:hanging="360"/>
      </w:pPr>
      <w:rPr>
        <w:rFonts w:ascii="Wingdings" w:hAnsi="Wingdings" w:hint="default"/>
      </w:rPr>
    </w:lvl>
    <w:lvl w:ilvl="6" w:tplc="E0384042" w:tentative="1">
      <w:start w:val="1"/>
      <w:numFmt w:val="bullet"/>
      <w:lvlText w:val=""/>
      <w:lvlJc w:val="left"/>
      <w:pPr>
        <w:ind w:left="5805" w:hanging="360"/>
      </w:pPr>
      <w:rPr>
        <w:rFonts w:ascii="Symbol" w:hAnsi="Symbol" w:hint="default"/>
      </w:rPr>
    </w:lvl>
    <w:lvl w:ilvl="7" w:tplc="706A14A6" w:tentative="1">
      <w:start w:val="1"/>
      <w:numFmt w:val="bullet"/>
      <w:lvlText w:val="o"/>
      <w:lvlJc w:val="left"/>
      <w:pPr>
        <w:ind w:left="6525" w:hanging="360"/>
      </w:pPr>
      <w:rPr>
        <w:rFonts w:ascii="Courier New" w:hAnsi="Courier New" w:hint="default"/>
      </w:rPr>
    </w:lvl>
    <w:lvl w:ilvl="8" w:tplc="965E2C2E" w:tentative="1">
      <w:start w:val="1"/>
      <w:numFmt w:val="bullet"/>
      <w:lvlText w:val=""/>
      <w:lvlJc w:val="left"/>
      <w:pPr>
        <w:ind w:left="7245" w:hanging="360"/>
      </w:pPr>
      <w:rPr>
        <w:rFonts w:ascii="Wingdings" w:hAnsi="Wingdings" w:hint="default"/>
      </w:rPr>
    </w:lvl>
  </w:abstractNum>
  <w:abstractNum w:abstractNumId="1" w15:restartNumberingAfterBreak="0">
    <w:nsid w:val="092B7496"/>
    <w:multiLevelType w:val="hybridMultilevel"/>
    <w:tmpl w:val="3C1C4978"/>
    <w:lvl w:ilvl="0" w:tplc="4AB2088A">
      <w:start w:val="1"/>
      <w:numFmt w:val="bullet"/>
      <w:lvlText w:val=""/>
      <w:lvlJc w:val="left"/>
      <w:pPr>
        <w:ind w:left="720" w:hanging="360"/>
      </w:pPr>
      <w:rPr>
        <w:rFonts w:ascii="Symbol" w:hAnsi="Symbol" w:hint="default"/>
      </w:rPr>
    </w:lvl>
    <w:lvl w:ilvl="1" w:tplc="066E1368">
      <w:start w:val="1"/>
      <w:numFmt w:val="bullet"/>
      <w:lvlText w:val="o"/>
      <w:lvlJc w:val="left"/>
      <w:pPr>
        <w:ind w:left="1440" w:hanging="360"/>
      </w:pPr>
      <w:rPr>
        <w:rFonts w:ascii="Courier New" w:hAnsi="Courier New" w:hint="default"/>
      </w:rPr>
    </w:lvl>
    <w:lvl w:ilvl="2" w:tplc="0108FEAA" w:tentative="1">
      <w:start w:val="1"/>
      <w:numFmt w:val="bullet"/>
      <w:lvlText w:val=""/>
      <w:lvlJc w:val="left"/>
      <w:pPr>
        <w:ind w:left="2160" w:hanging="360"/>
      </w:pPr>
      <w:rPr>
        <w:rFonts w:ascii="Wingdings" w:hAnsi="Wingdings" w:hint="default"/>
      </w:rPr>
    </w:lvl>
    <w:lvl w:ilvl="3" w:tplc="6C882CF2" w:tentative="1">
      <w:start w:val="1"/>
      <w:numFmt w:val="bullet"/>
      <w:lvlText w:val=""/>
      <w:lvlJc w:val="left"/>
      <w:pPr>
        <w:ind w:left="2880" w:hanging="360"/>
      </w:pPr>
      <w:rPr>
        <w:rFonts w:ascii="Symbol" w:hAnsi="Symbol" w:hint="default"/>
      </w:rPr>
    </w:lvl>
    <w:lvl w:ilvl="4" w:tplc="9AE03366" w:tentative="1">
      <w:start w:val="1"/>
      <w:numFmt w:val="bullet"/>
      <w:lvlText w:val="o"/>
      <w:lvlJc w:val="left"/>
      <w:pPr>
        <w:ind w:left="3600" w:hanging="360"/>
      </w:pPr>
      <w:rPr>
        <w:rFonts w:ascii="Courier New" w:hAnsi="Courier New" w:hint="default"/>
      </w:rPr>
    </w:lvl>
    <w:lvl w:ilvl="5" w:tplc="19461912" w:tentative="1">
      <w:start w:val="1"/>
      <w:numFmt w:val="bullet"/>
      <w:lvlText w:val=""/>
      <w:lvlJc w:val="left"/>
      <w:pPr>
        <w:ind w:left="4320" w:hanging="360"/>
      </w:pPr>
      <w:rPr>
        <w:rFonts w:ascii="Wingdings" w:hAnsi="Wingdings" w:hint="default"/>
      </w:rPr>
    </w:lvl>
    <w:lvl w:ilvl="6" w:tplc="30B286D2" w:tentative="1">
      <w:start w:val="1"/>
      <w:numFmt w:val="bullet"/>
      <w:lvlText w:val=""/>
      <w:lvlJc w:val="left"/>
      <w:pPr>
        <w:ind w:left="5040" w:hanging="360"/>
      </w:pPr>
      <w:rPr>
        <w:rFonts w:ascii="Symbol" w:hAnsi="Symbol" w:hint="default"/>
      </w:rPr>
    </w:lvl>
    <w:lvl w:ilvl="7" w:tplc="B77A6D08" w:tentative="1">
      <w:start w:val="1"/>
      <w:numFmt w:val="bullet"/>
      <w:lvlText w:val="o"/>
      <w:lvlJc w:val="left"/>
      <w:pPr>
        <w:ind w:left="5760" w:hanging="360"/>
      </w:pPr>
      <w:rPr>
        <w:rFonts w:ascii="Courier New" w:hAnsi="Courier New" w:hint="default"/>
      </w:rPr>
    </w:lvl>
    <w:lvl w:ilvl="8" w:tplc="28F6BE96" w:tentative="1">
      <w:start w:val="1"/>
      <w:numFmt w:val="bullet"/>
      <w:lvlText w:val=""/>
      <w:lvlJc w:val="left"/>
      <w:pPr>
        <w:ind w:left="6480" w:hanging="360"/>
      </w:pPr>
      <w:rPr>
        <w:rFonts w:ascii="Wingdings" w:hAnsi="Wingdings" w:hint="default"/>
      </w:rPr>
    </w:lvl>
  </w:abstractNum>
  <w:abstractNum w:abstractNumId="2" w15:restartNumberingAfterBreak="0">
    <w:nsid w:val="17BE0D07"/>
    <w:multiLevelType w:val="hybridMultilevel"/>
    <w:tmpl w:val="D4926224"/>
    <w:lvl w:ilvl="0" w:tplc="07CCA08C">
      <w:start w:val="1"/>
      <w:numFmt w:val="decimal"/>
      <w:lvlText w:val="%1."/>
      <w:lvlJc w:val="left"/>
      <w:pPr>
        <w:ind w:left="720" w:hanging="360"/>
      </w:pPr>
      <w:rPr>
        <w:rFonts w:cs="Times New Roman" w:hint="default"/>
      </w:rPr>
    </w:lvl>
    <w:lvl w:ilvl="1" w:tplc="9852E836" w:tentative="1">
      <w:start w:val="1"/>
      <w:numFmt w:val="lowerLetter"/>
      <w:lvlText w:val="%2."/>
      <w:lvlJc w:val="left"/>
      <w:pPr>
        <w:ind w:left="1440" w:hanging="360"/>
      </w:pPr>
      <w:rPr>
        <w:rFonts w:cs="Times New Roman"/>
      </w:rPr>
    </w:lvl>
    <w:lvl w:ilvl="2" w:tplc="EEACD8AA" w:tentative="1">
      <w:start w:val="1"/>
      <w:numFmt w:val="lowerRoman"/>
      <w:lvlText w:val="%3."/>
      <w:lvlJc w:val="right"/>
      <w:pPr>
        <w:ind w:left="2160" w:hanging="180"/>
      </w:pPr>
      <w:rPr>
        <w:rFonts w:cs="Times New Roman"/>
      </w:rPr>
    </w:lvl>
    <w:lvl w:ilvl="3" w:tplc="AED48EDE" w:tentative="1">
      <w:start w:val="1"/>
      <w:numFmt w:val="decimal"/>
      <w:lvlText w:val="%4."/>
      <w:lvlJc w:val="left"/>
      <w:pPr>
        <w:ind w:left="2880" w:hanging="360"/>
      </w:pPr>
      <w:rPr>
        <w:rFonts w:cs="Times New Roman"/>
      </w:rPr>
    </w:lvl>
    <w:lvl w:ilvl="4" w:tplc="6D8050A6" w:tentative="1">
      <w:start w:val="1"/>
      <w:numFmt w:val="lowerLetter"/>
      <w:lvlText w:val="%5."/>
      <w:lvlJc w:val="left"/>
      <w:pPr>
        <w:ind w:left="3600" w:hanging="360"/>
      </w:pPr>
      <w:rPr>
        <w:rFonts w:cs="Times New Roman"/>
      </w:rPr>
    </w:lvl>
    <w:lvl w:ilvl="5" w:tplc="67DCEA5A" w:tentative="1">
      <w:start w:val="1"/>
      <w:numFmt w:val="lowerRoman"/>
      <w:lvlText w:val="%6."/>
      <w:lvlJc w:val="right"/>
      <w:pPr>
        <w:ind w:left="4320" w:hanging="180"/>
      </w:pPr>
      <w:rPr>
        <w:rFonts w:cs="Times New Roman"/>
      </w:rPr>
    </w:lvl>
    <w:lvl w:ilvl="6" w:tplc="1630A3BA" w:tentative="1">
      <w:start w:val="1"/>
      <w:numFmt w:val="decimal"/>
      <w:lvlText w:val="%7."/>
      <w:lvlJc w:val="left"/>
      <w:pPr>
        <w:ind w:left="5040" w:hanging="360"/>
      </w:pPr>
      <w:rPr>
        <w:rFonts w:cs="Times New Roman"/>
      </w:rPr>
    </w:lvl>
    <w:lvl w:ilvl="7" w:tplc="C6042D96" w:tentative="1">
      <w:start w:val="1"/>
      <w:numFmt w:val="lowerLetter"/>
      <w:lvlText w:val="%8."/>
      <w:lvlJc w:val="left"/>
      <w:pPr>
        <w:ind w:left="5760" w:hanging="360"/>
      </w:pPr>
      <w:rPr>
        <w:rFonts w:cs="Times New Roman"/>
      </w:rPr>
    </w:lvl>
    <w:lvl w:ilvl="8" w:tplc="5AC841B2" w:tentative="1">
      <w:start w:val="1"/>
      <w:numFmt w:val="lowerRoman"/>
      <w:lvlText w:val="%9."/>
      <w:lvlJc w:val="right"/>
      <w:pPr>
        <w:ind w:left="6480" w:hanging="180"/>
      </w:pPr>
      <w:rPr>
        <w:rFonts w:cs="Times New Roman"/>
      </w:rPr>
    </w:lvl>
  </w:abstractNum>
  <w:abstractNum w:abstractNumId="3" w15:restartNumberingAfterBreak="0">
    <w:nsid w:val="1A06069D"/>
    <w:multiLevelType w:val="hybridMultilevel"/>
    <w:tmpl w:val="8D4E887E"/>
    <w:lvl w:ilvl="0" w:tplc="6E985032">
      <w:start w:val="1"/>
      <w:numFmt w:val="decimal"/>
      <w:lvlText w:val="%1."/>
      <w:lvlJc w:val="left"/>
      <w:pPr>
        <w:ind w:left="360" w:hanging="360"/>
      </w:pPr>
      <w:rPr>
        <w:rFonts w:cs="Times New Roman"/>
        <w:b/>
      </w:rPr>
    </w:lvl>
    <w:lvl w:ilvl="1" w:tplc="E6562AD6" w:tentative="1">
      <w:start w:val="1"/>
      <w:numFmt w:val="lowerLetter"/>
      <w:lvlText w:val="%2."/>
      <w:lvlJc w:val="left"/>
      <w:pPr>
        <w:ind w:left="1080" w:hanging="360"/>
      </w:pPr>
      <w:rPr>
        <w:rFonts w:cs="Times New Roman"/>
      </w:rPr>
    </w:lvl>
    <w:lvl w:ilvl="2" w:tplc="C0A2A89C" w:tentative="1">
      <w:start w:val="1"/>
      <w:numFmt w:val="lowerRoman"/>
      <w:lvlText w:val="%3."/>
      <w:lvlJc w:val="right"/>
      <w:pPr>
        <w:ind w:left="1800" w:hanging="180"/>
      </w:pPr>
      <w:rPr>
        <w:rFonts w:cs="Times New Roman"/>
      </w:rPr>
    </w:lvl>
    <w:lvl w:ilvl="3" w:tplc="149A9762" w:tentative="1">
      <w:start w:val="1"/>
      <w:numFmt w:val="decimal"/>
      <w:lvlText w:val="%4."/>
      <w:lvlJc w:val="left"/>
      <w:pPr>
        <w:ind w:left="2520" w:hanging="360"/>
      </w:pPr>
      <w:rPr>
        <w:rFonts w:cs="Times New Roman"/>
      </w:rPr>
    </w:lvl>
    <w:lvl w:ilvl="4" w:tplc="2F4847E0" w:tentative="1">
      <w:start w:val="1"/>
      <w:numFmt w:val="lowerLetter"/>
      <w:lvlText w:val="%5."/>
      <w:lvlJc w:val="left"/>
      <w:pPr>
        <w:ind w:left="3240" w:hanging="360"/>
      </w:pPr>
      <w:rPr>
        <w:rFonts w:cs="Times New Roman"/>
      </w:rPr>
    </w:lvl>
    <w:lvl w:ilvl="5" w:tplc="DAB27752" w:tentative="1">
      <w:start w:val="1"/>
      <w:numFmt w:val="lowerRoman"/>
      <w:lvlText w:val="%6."/>
      <w:lvlJc w:val="right"/>
      <w:pPr>
        <w:ind w:left="3960" w:hanging="180"/>
      </w:pPr>
      <w:rPr>
        <w:rFonts w:cs="Times New Roman"/>
      </w:rPr>
    </w:lvl>
    <w:lvl w:ilvl="6" w:tplc="1E3E928C" w:tentative="1">
      <w:start w:val="1"/>
      <w:numFmt w:val="decimal"/>
      <w:lvlText w:val="%7."/>
      <w:lvlJc w:val="left"/>
      <w:pPr>
        <w:ind w:left="4680" w:hanging="360"/>
      </w:pPr>
      <w:rPr>
        <w:rFonts w:cs="Times New Roman"/>
      </w:rPr>
    </w:lvl>
    <w:lvl w:ilvl="7" w:tplc="6C3CC308" w:tentative="1">
      <w:start w:val="1"/>
      <w:numFmt w:val="lowerLetter"/>
      <w:lvlText w:val="%8."/>
      <w:lvlJc w:val="left"/>
      <w:pPr>
        <w:ind w:left="5400" w:hanging="360"/>
      </w:pPr>
      <w:rPr>
        <w:rFonts w:cs="Times New Roman"/>
      </w:rPr>
    </w:lvl>
    <w:lvl w:ilvl="8" w:tplc="977AB5C8" w:tentative="1">
      <w:start w:val="1"/>
      <w:numFmt w:val="lowerRoman"/>
      <w:lvlText w:val="%9."/>
      <w:lvlJc w:val="right"/>
      <w:pPr>
        <w:ind w:left="6120" w:hanging="180"/>
      </w:pPr>
      <w:rPr>
        <w:rFonts w:cs="Times New Roman"/>
      </w:rPr>
    </w:lvl>
  </w:abstractNum>
  <w:abstractNum w:abstractNumId="4" w15:restartNumberingAfterBreak="0">
    <w:nsid w:val="1D894F0C"/>
    <w:multiLevelType w:val="hybridMultilevel"/>
    <w:tmpl w:val="44641344"/>
    <w:lvl w:ilvl="0" w:tplc="6EF66B84">
      <w:start w:val="6"/>
      <w:numFmt w:val="decimal"/>
      <w:lvlText w:val="%1"/>
      <w:lvlJc w:val="left"/>
      <w:pPr>
        <w:ind w:left="720" w:hanging="360"/>
      </w:pPr>
      <w:rPr>
        <w:rFonts w:hint="default"/>
      </w:rPr>
    </w:lvl>
    <w:lvl w:ilvl="1" w:tplc="16700C94" w:tentative="1">
      <w:start w:val="1"/>
      <w:numFmt w:val="lowerLetter"/>
      <w:lvlText w:val="%2."/>
      <w:lvlJc w:val="left"/>
      <w:pPr>
        <w:ind w:left="1440" w:hanging="360"/>
      </w:pPr>
    </w:lvl>
    <w:lvl w:ilvl="2" w:tplc="C56419E4" w:tentative="1">
      <w:start w:val="1"/>
      <w:numFmt w:val="lowerRoman"/>
      <w:lvlText w:val="%3."/>
      <w:lvlJc w:val="right"/>
      <w:pPr>
        <w:ind w:left="2160" w:hanging="180"/>
      </w:pPr>
    </w:lvl>
    <w:lvl w:ilvl="3" w:tplc="93C8E0A2" w:tentative="1">
      <w:start w:val="1"/>
      <w:numFmt w:val="decimal"/>
      <w:lvlText w:val="%4."/>
      <w:lvlJc w:val="left"/>
      <w:pPr>
        <w:ind w:left="2880" w:hanging="360"/>
      </w:pPr>
    </w:lvl>
    <w:lvl w:ilvl="4" w:tplc="5B8EE8CC" w:tentative="1">
      <w:start w:val="1"/>
      <w:numFmt w:val="lowerLetter"/>
      <w:lvlText w:val="%5."/>
      <w:lvlJc w:val="left"/>
      <w:pPr>
        <w:ind w:left="3600" w:hanging="360"/>
      </w:pPr>
    </w:lvl>
    <w:lvl w:ilvl="5" w:tplc="72F0DCE0" w:tentative="1">
      <w:start w:val="1"/>
      <w:numFmt w:val="lowerRoman"/>
      <w:lvlText w:val="%6."/>
      <w:lvlJc w:val="right"/>
      <w:pPr>
        <w:ind w:left="4320" w:hanging="180"/>
      </w:pPr>
    </w:lvl>
    <w:lvl w:ilvl="6" w:tplc="14ECFCB0" w:tentative="1">
      <w:start w:val="1"/>
      <w:numFmt w:val="decimal"/>
      <w:lvlText w:val="%7."/>
      <w:lvlJc w:val="left"/>
      <w:pPr>
        <w:ind w:left="5040" w:hanging="360"/>
      </w:pPr>
    </w:lvl>
    <w:lvl w:ilvl="7" w:tplc="9A764124" w:tentative="1">
      <w:start w:val="1"/>
      <w:numFmt w:val="lowerLetter"/>
      <w:lvlText w:val="%8."/>
      <w:lvlJc w:val="left"/>
      <w:pPr>
        <w:ind w:left="5760" w:hanging="360"/>
      </w:pPr>
    </w:lvl>
    <w:lvl w:ilvl="8" w:tplc="53A8E798" w:tentative="1">
      <w:start w:val="1"/>
      <w:numFmt w:val="lowerRoman"/>
      <w:lvlText w:val="%9."/>
      <w:lvlJc w:val="right"/>
      <w:pPr>
        <w:ind w:left="6480" w:hanging="180"/>
      </w:pPr>
    </w:lvl>
  </w:abstractNum>
  <w:abstractNum w:abstractNumId="5" w15:restartNumberingAfterBreak="0">
    <w:nsid w:val="2543253A"/>
    <w:multiLevelType w:val="hybridMultilevel"/>
    <w:tmpl w:val="9EEA20BC"/>
    <w:lvl w:ilvl="0" w:tplc="E64EDA84">
      <w:start w:val="5"/>
      <w:numFmt w:val="decimal"/>
      <w:lvlText w:val="%1"/>
      <w:lvlJc w:val="left"/>
      <w:pPr>
        <w:ind w:left="1080" w:hanging="360"/>
      </w:pPr>
      <w:rPr>
        <w:rFonts w:hint="default"/>
      </w:rPr>
    </w:lvl>
    <w:lvl w:ilvl="1" w:tplc="9F7E1486" w:tentative="1">
      <w:start w:val="1"/>
      <w:numFmt w:val="lowerLetter"/>
      <w:lvlText w:val="%2."/>
      <w:lvlJc w:val="left"/>
      <w:pPr>
        <w:ind w:left="1800" w:hanging="360"/>
      </w:pPr>
    </w:lvl>
    <w:lvl w:ilvl="2" w:tplc="C5F044BC" w:tentative="1">
      <w:start w:val="1"/>
      <w:numFmt w:val="lowerRoman"/>
      <w:lvlText w:val="%3."/>
      <w:lvlJc w:val="right"/>
      <w:pPr>
        <w:ind w:left="2520" w:hanging="180"/>
      </w:pPr>
    </w:lvl>
    <w:lvl w:ilvl="3" w:tplc="716A7EC0" w:tentative="1">
      <w:start w:val="1"/>
      <w:numFmt w:val="decimal"/>
      <w:lvlText w:val="%4."/>
      <w:lvlJc w:val="left"/>
      <w:pPr>
        <w:ind w:left="3240" w:hanging="360"/>
      </w:pPr>
    </w:lvl>
    <w:lvl w:ilvl="4" w:tplc="F2B8453C" w:tentative="1">
      <w:start w:val="1"/>
      <w:numFmt w:val="lowerLetter"/>
      <w:lvlText w:val="%5."/>
      <w:lvlJc w:val="left"/>
      <w:pPr>
        <w:ind w:left="3960" w:hanging="360"/>
      </w:pPr>
    </w:lvl>
    <w:lvl w:ilvl="5" w:tplc="85D23084" w:tentative="1">
      <w:start w:val="1"/>
      <w:numFmt w:val="lowerRoman"/>
      <w:lvlText w:val="%6."/>
      <w:lvlJc w:val="right"/>
      <w:pPr>
        <w:ind w:left="4680" w:hanging="180"/>
      </w:pPr>
    </w:lvl>
    <w:lvl w:ilvl="6" w:tplc="A6907142" w:tentative="1">
      <w:start w:val="1"/>
      <w:numFmt w:val="decimal"/>
      <w:lvlText w:val="%7."/>
      <w:lvlJc w:val="left"/>
      <w:pPr>
        <w:ind w:left="5400" w:hanging="360"/>
      </w:pPr>
    </w:lvl>
    <w:lvl w:ilvl="7" w:tplc="4CAE01F2" w:tentative="1">
      <w:start w:val="1"/>
      <w:numFmt w:val="lowerLetter"/>
      <w:lvlText w:val="%8."/>
      <w:lvlJc w:val="left"/>
      <w:pPr>
        <w:ind w:left="6120" w:hanging="360"/>
      </w:pPr>
    </w:lvl>
    <w:lvl w:ilvl="8" w:tplc="FD9E33CE" w:tentative="1">
      <w:start w:val="1"/>
      <w:numFmt w:val="lowerRoman"/>
      <w:lvlText w:val="%9."/>
      <w:lvlJc w:val="right"/>
      <w:pPr>
        <w:ind w:left="6840" w:hanging="180"/>
      </w:pPr>
    </w:lvl>
  </w:abstractNum>
  <w:abstractNum w:abstractNumId="6" w15:restartNumberingAfterBreak="0">
    <w:nsid w:val="25BE230D"/>
    <w:multiLevelType w:val="hybridMultilevel"/>
    <w:tmpl w:val="571680B2"/>
    <w:lvl w:ilvl="0" w:tplc="11D8FDA8">
      <w:start w:val="1"/>
      <w:numFmt w:val="decimal"/>
      <w:lvlText w:val="%1."/>
      <w:lvlJc w:val="left"/>
      <w:pPr>
        <w:ind w:left="720" w:hanging="360"/>
      </w:pPr>
      <w:rPr>
        <w:rFonts w:cs="Times New Roman" w:hint="default"/>
      </w:rPr>
    </w:lvl>
    <w:lvl w:ilvl="1" w:tplc="B4A6C7A2" w:tentative="1">
      <w:start w:val="1"/>
      <w:numFmt w:val="lowerLetter"/>
      <w:lvlText w:val="%2."/>
      <w:lvlJc w:val="left"/>
      <w:pPr>
        <w:ind w:left="1440" w:hanging="360"/>
      </w:pPr>
      <w:rPr>
        <w:rFonts w:cs="Times New Roman"/>
      </w:rPr>
    </w:lvl>
    <w:lvl w:ilvl="2" w:tplc="157A3E82" w:tentative="1">
      <w:start w:val="1"/>
      <w:numFmt w:val="lowerRoman"/>
      <w:lvlText w:val="%3."/>
      <w:lvlJc w:val="right"/>
      <w:pPr>
        <w:ind w:left="2160" w:hanging="180"/>
      </w:pPr>
      <w:rPr>
        <w:rFonts w:cs="Times New Roman"/>
      </w:rPr>
    </w:lvl>
    <w:lvl w:ilvl="3" w:tplc="5CB03E6A" w:tentative="1">
      <w:start w:val="1"/>
      <w:numFmt w:val="decimal"/>
      <w:lvlText w:val="%4."/>
      <w:lvlJc w:val="left"/>
      <w:pPr>
        <w:ind w:left="2880" w:hanging="360"/>
      </w:pPr>
      <w:rPr>
        <w:rFonts w:cs="Times New Roman"/>
      </w:rPr>
    </w:lvl>
    <w:lvl w:ilvl="4" w:tplc="E530E7CE" w:tentative="1">
      <w:start w:val="1"/>
      <w:numFmt w:val="lowerLetter"/>
      <w:lvlText w:val="%5."/>
      <w:lvlJc w:val="left"/>
      <w:pPr>
        <w:ind w:left="3600" w:hanging="360"/>
      </w:pPr>
      <w:rPr>
        <w:rFonts w:cs="Times New Roman"/>
      </w:rPr>
    </w:lvl>
    <w:lvl w:ilvl="5" w:tplc="64AA35A0" w:tentative="1">
      <w:start w:val="1"/>
      <w:numFmt w:val="lowerRoman"/>
      <w:lvlText w:val="%6."/>
      <w:lvlJc w:val="right"/>
      <w:pPr>
        <w:ind w:left="4320" w:hanging="180"/>
      </w:pPr>
      <w:rPr>
        <w:rFonts w:cs="Times New Roman"/>
      </w:rPr>
    </w:lvl>
    <w:lvl w:ilvl="6" w:tplc="BCDCF28E" w:tentative="1">
      <w:start w:val="1"/>
      <w:numFmt w:val="decimal"/>
      <w:lvlText w:val="%7."/>
      <w:lvlJc w:val="left"/>
      <w:pPr>
        <w:ind w:left="5040" w:hanging="360"/>
      </w:pPr>
      <w:rPr>
        <w:rFonts w:cs="Times New Roman"/>
      </w:rPr>
    </w:lvl>
    <w:lvl w:ilvl="7" w:tplc="D44AC520" w:tentative="1">
      <w:start w:val="1"/>
      <w:numFmt w:val="lowerLetter"/>
      <w:lvlText w:val="%8."/>
      <w:lvlJc w:val="left"/>
      <w:pPr>
        <w:ind w:left="5760" w:hanging="360"/>
      </w:pPr>
      <w:rPr>
        <w:rFonts w:cs="Times New Roman"/>
      </w:rPr>
    </w:lvl>
    <w:lvl w:ilvl="8" w:tplc="0AC6BECA" w:tentative="1">
      <w:start w:val="1"/>
      <w:numFmt w:val="lowerRoman"/>
      <w:lvlText w:val="%9."/>
      <w:lvlJc w:val="right"/>
      <w:pPr>
        <w:ind w:left="6480" w:hanging="180"/>
      </w:pPr>
      <w:rPr>
        <w:rFonts w:cs="Times New Roman"/>
      </w:rPr>
    </w:lvl>
  </w:abstractNum>
  <w:abstractNum w:abstractNumId="7" w15:restartNumberingAfterBreak="0">
    <w:nsid w:val="2BA2327D"/>
    <w:multiLevelType w:val="hybridMultilevel"/>
    <w:tmpl w:val="3976C4A6"/>
    <w:lvl w:ilvl="0" w:tplc="688C2ED0">
      <w:start w:val="1"/>
      <w:numFmt w:val="bullet"/>
      <w:lvlText w:val=""/>
      <w:lvlJc w:val="left"/>
      <w:pPr>
        <w:ind w:left="720" w:hanging="360"/>
      </w:pPr>
      <w:rPr>
        <w:rFonts w:ascii="Symbol" w:hAnsi="Symbol" w:hint="default"/>
      </w:rPr>
    </w:lvl>
    <w:lvl w:ilvl="1" w:tplc="2D80D75E" w:tentative="1">
      <w:start w:val="1"/>
      <w:numFmt w:val="bullet"/>
      <w:lvlText w:val="o"/>
      <w:lvlJc w:val="left"/>
      <w:pPr>
        <w:ind w:left="1440" w:hanging="360"/>
      </w:pPr>
      <w:rPr>
        <w:rFonts w:ascii="Courier New" w:hAnsi="Courier New" w:hint="default"/>
      </w:rPr>
    </w:lvl>
    <w:lvl w:ilvl="2" w:tplc="B4103D76" w:tentative="1">
      <w:start w:val="1"/>
      <w:numFmt w:val="bullet"/>
      <w:lvlText w:val=""/>
      <w:lvlJc w:val="left"/>
      <w:pPr>
        <w:ind w:left="2160" w:hanging="360"/>
      </w:pPr>
      <w:rPr>
        <w:rFonts w:ascii="Wingdings" w:hAnsi="Wingdings" w:hint="default"/>
      </w:rPr>
    </w:lvl>
    <w:lvl w:ilvl="3" w:tplc="63AEA38C" w:tentative="1">
      <w:start w:val="1"/>
      <w:numFmt w:val="bullet"/>
      <w:lvlText w:val=""/>
      <w:lvlJc w:val="left"/>
      <w:pPr>
        <w:ind w:left="2880" w:hanging="360"/>
      </w:pPr>
      <w:rPr>
        <w:rFonts w:ascii="Symbol" w:hAnsi="Symbol" w:hint="default"/>
      </w:rPr>
    </w:lvl>
    <w:lvl w:ilvl="4" w:tplc="BD2E0546" w:tentative="1">
      <w:start w:val="1"/>
      <w:numFmt w:val="bullet"/>
      <w:lvlText w:val="o"/>
      <w:lvlJc w:val="left"/>
      <w:pPr>
        <w:ind w:left="3600" w:hanging="360"/>
      </w:pPr>
      <w:rPr>
        <w:rFonts w:ascii="Courier New" w:hAnsi="Courier New" w:hint="default"/>
      </w:rPr>
    </w:lvl>
    <w:lvl w:ilvl="5" w:tplc="A0045966" w:tentative="1">
      <w:start w:val="1"/>
      <w:numFmt w:val="bullet"/>
      <w:lvlText w:val=""/>
      <w:lvlJc w:val="left"/>
      <w:pPr>
        <w:ind w:left="4320" w:hanging="360"/>
      </w:pPr>
      <w:rPr>
        <w:rFonts w:ascii="Wingdings" w:hAnsi="Wingdings" w:hint="default"/>
      </w:rPr>
    </w:lvl>
    <w:lvl w:ilvl="6" w:tplc="384AEB38" w:tentative="1">
      <w:start w:val="1"/>
      <w:numFmt w:val="bullet"/>
      <w:lvlText w:val=""/>
      <w:lvlJc w:val="left"/>
      <w:pPr>
        <w:ind w:left="5040" w:hanging="360"/>
      </w:pPr>
      <w:rPr>
        <w:rFonts w:ascii="Symbol" w:hAnsi="Symbol" w:hint="default"/>
      </w:rPr>
    </w:lvl>
    <w:lvl w:ilvl="7" w:tplc="68C0ECF8" w:tentative="1">
      <w:start w:val="1"/>
      <w:numFmt w:val="bullet"/>
      <w:lvlText w:val="o"/>
      <w:lvlJc w:val="left"/>
      <w:pPr>
        <w:ind w:left="5760" w:hanging="360"/>
      </w:pPr>
      <w:rPr>
        <w:rFonts w:ascii="Courier New" w:hAnsi="Courier New" w:hint="default"/>
      </w:rPr>
    </w:lvl>
    <w:lvl w:ilvl="8" w:tplc="9D4ACC8A" w:tentative="1">
      <w:start w:val="1"/>
      <w:numFmt w:val="bullet"/>
      <w:lvlText w:val=""/>
      <w:lvlJc w:val="left"/>
      <w:pPr>
        <w:ind w:left="6480" w:hanging="360"/>
      </w:pPr>
      <w:rPr>
        <w:rFonts w:ascii="Wingdings" w:hAnsi="Wingdings" w:hint="default"/>
      </w:rPr>
    </w:lvl>
  </w:abstractNum>
  <w:abstractNum w:abstractNumId="8" w15:restartNumberingAfterBreak="0">
    <w:nsid w:val="348B7F0F"/>
    <w:multiLevelType w:val="hybridMultilevel"/>
    <w:tmpl w:val="B9DE110A"/>
    <w:lvl w:ilvl="0" w:tplc="3244D74E">
      <w:start w:val="1"/>
      <w:numFmt w:val="decimal"/>
      <w:lvlText w:val="%1."/>
      <w:lvlJc w:val="left"/>
      <w:pPr>
        <w:ind w:left="786" w:hanging="360"/>
      </w:pPr>
      <w:rPr>
        <w:rFonts w:cs="Times New Roman" w:hint="default"/>
      </w:rPr>
    </w:lvl>
    <w:lvl w:ilvl="1" w:tplc="6DCA515E" w:tentative="1">
      <w:start w:val="1"/>
      <w:numFmt w:val="lowerLetter"/>
      <w:lvlText w:val="%2."/>
      <w:lvlJc w:val="left"/>
      <w:pPr>
        <w:ind w:left="1506" w:hanging="360"/>
      </w:pPr>
      <w:rPr>
        <w:rFonts w:cs="Times New Roman"/>
      </w:rPr>
    </w:lvl>
    <w:lvl w:ilvl="2" w:tplc="0904456A" w:tentative="1">
      <w:start w:val="1"/>
      <w:numFmt w:val="lowerRoman"/>
      <w:lvlText w:val="%3."/>
      <w:lvlJc w:val="right"/>
      <w:pPr>
        <w:ind w:left="2226" w:hanging="180"/>
      </w:pPr>
      <w:rPr>
        <w:rFonts w:cs="Times New Roman"/>
      </w:rPr>
    </w:lvl>
    <w:lvl w:ilvl="3" w:tplc="87B256FC" w:tentative="1">
      <w:start w:val="1"/>
      <w:numFmt w:val="decimal"/>
      <w:lvlText w:val="%4."/>
      <w:lvlJc w:val="left"/>
      <w:pPr>
        <w:ind w:left="2946" w:hanging="360"/>
      </w:pPr>
      <w:rPr>
        <w:rFonts w:cs="Times New Roman"/>
      </w:rPr>
    </w:lvl>
    <w:lvl w:ilvl="4" w:tplc="813C70FC" w:tentative="1">
      <w:start w:val="1"/>
      <w:numFmt w:val="lowerLetter"/>
      <w:lvlText w:val="%5."/>
      <w:lvlJc w:val="left"/>
      <w:pPr>
        <w:ind w:left="3666" w:hanging="360"/>
      </w:pPr>
      <w:rPr>
        <w:rFonts w:cs="Times New Roman"/>
      </w:rPr>
    </w:lvl>
    <w:lvl w:ilvl="5" w:tplc="F0B6324E" w:tentative="1">
      <w:start w:val="1"/>
      <w:numFmt w:val="lowerRoman"/>
      <w:lvlText w:val="%6."/>
      <w:lvlJc w:val="right"/>
      <w:pPr>
        <w:ind w:left="4386" w:hanging="180"/>
      </w:pPr>
      <w:rPr>
        <w:rFonts w:cs="Times New Roman"/>
      </w:rPr>
    </w:lvl>
    <w:lvl w:ilvl="6" w:tplc="28D83414" w:tentative="1">
      <w:start w:val="1"/>
      <w:numFmt w:val="decimal"/>
      <w:lvlText w:val="%7."/>
      <w:lvlJc w:val="left"/>
      <w:pPr>
        <w:ind w:left="5106" w:hanging="360"/>
      </w:pPr>
      <w:rPr>
        <w:rFonts w:cs="Times New Roman"/>
      </w:rPr>
    </w:lvl>
    <w:lvl w:ilvl="7" w:tplc="6BCE362C" w:tentative="1">
      <w:start w:val="1"/>
      <w:numFmt w:val="lowerLetter"/>
      <w:lvlText w:val="%8."/>
      <w:lvlJc w:val="left"/>
      <w:pPr>
        <w:ind w:left="5826" w:hanging="360"/>
      </w:pPr>
      <w:rPr>
        <w:rFonts w:cs="Times New Roman"/>
      </w:rPr>
    </w:lvl>
    <w:lvl w:ilvl="8" w:tplc="C5DC0A34" w:tentative="1">
      <w:start w:val="1"/>
      <w:numFmt w:val="lowerRoman"/>
      <w:lvlText w:val="%9."/>
      <w:lvlJc w:val="right"/>
      <w:pPr>
        <w:ind w:left="6546" w:hanging="180"/>
      </w:pPr>
      <w:rPr>
        <w:rFonts w:cs="Times New Roman"/>
      </w:rPr>
    </w:lvl>
  </w:abstractNum>
  <w:abstractNum w:abstractNumId="9" w15:restartNumberingAfterBreak="0">
    <w:nsid w:val="35ED09FE"/>
    <w:multiLevelType w:val="hybridMultilevel"/>
    <w:tmpl w:val="DF4E7482"/>
    <w:lvl w:ilvl="0" w:tplc="45B6B0BA">
      <w:start w:val="6"/>
      <w:numFmt w:val="decimal"/>
      <w:lvlText w:val="%1."/>
      <w:lvlJc w:val="left"/>
      <w:pPr>
        <w:ind w:left="720" w:hanging="360"/>
      </w:pPr>
      <w:rPr>
        <w:rFonts w:hint="default"/>
        <w:b/>
      </w:rPr>
    </w:lvl>
    <w:lvl w:ilvl="1" w:tplc="52AC0854" w:tentative="1">
      <w:start w:val="1"/>
      <w:numFmt w:val="lowerLetter"/>
      <w:lvlText w:val="%2."/>
      <w:lvlJc w:val="left"/>
      <w:pPr>
        <w:ind w:left="1440" w:hanging="360"/>
      </w:pPr>
    </w:lvl>
    <w:lvl w:ilvl="2" w:tplc="D8FCB828" w:tentative="1">
      <w:start w:val="1"/>
      <w:numFmt w:val="lowerRoman"/>
      <w:lvlText w:val="%3."/>
      <w:lvlJc w:val="right"/>
      <w:pPr>
        <w:ind w:left="2160" w:hanging="180"/>
      </w:pPr>
    </w:lvl>
    <w:lvl w:ilvl="3" w:tplc="5AC48A46" w:tentative="1">
      <w:start w:val="1"/>
      <w:numFmt w:val="decimal"/>
      <w:lvlText w:val="%4."/>
      <w:lvlJc w:val="left"/>
      <w:pPr>
        <w:ind w:left="2880" w:hanging="360"/>
      </w:pPr>
    </w:lvl>
    <w:lvl w:ilvl="4" w:tplc="43045038" w:tentative="1">
      <w:start w:val="1"/>
      <w:numFmt w:val="lowerLetter"/>
      <w:lvlText w:val="%5."/>
      <w:lvlJc w:val="left"/>
      <w:pPr>
        <w:ind w:left="3600" w:hanging="360"/>
      </w:pPr>
    </w:lvl>
    <w:lvl w:ilvl="5" w:tplc="C38A3CE8" w:tentative="1">
      <w:start w:val="1"/>
      <w:numFmt w:val="lowerRoman"/>
      <w:lvlText w:val="%6."/>
      <w:lvlJc w:val="right"/>
      <w:pPr>
        <w:ind w:left="4320" w:hanging="180"/>
      </w:pPr>
    </w:lvl>
    <w:lvl w:ilvl="6" w:tplc="DD4E87CE" w:tentative="1">
      <w:start w:val="1"/>
      <w:numFmt w:val="decimal"/>
      <w:lvlText w:val="%7."/>
      <w:lvlJc w:val="left"/>
      <w:pPr>
        <w:ind w:left="5040" w:hanging="360"/>
      </w:pPr>
    </w:lvl>
    <w:lvl w:ilvl="7" w:tplc="5DACE1AA" w:tentative="1">
      <w:start w:val="1"/>
      <w:numFmt w:val="lowerLetter"/>
      <w:lvlText w:val="%8."/>
      <w:lvlJc w:val="left"/>
      <w:pPr>
        <w:ind w:left="5760" w:hanging="360"/>
      </w:pPr>
    </w:lvl>
    <w:lvl w:ilvl="8" w:tplc="C652BA76" w:tentative="1">
      <w:start w:val="1"/>
      <w:numFmt w:val="lowerRoman"/>
      <w:lvlText w:val="%9."/>
      <w:lvlJc w:val="right"/>
      <w:pPr>
        <w:ind w:left="6480" w:hanging="180"/>
      </w:pPr>
    </w:lvl>
  </w:abstractNum>
  <w:abstractNum w:abstractNumId="10" w15:restartNumberingAfterBreak="0">
    <w:nsid w:val="376143D3"/>
    <w:multiLevelType w:val="hybridMultilevel"/>
    <w:tmpl w:val="944224A8"/>
    <w:lvl w:ilvl="0" w:tplc="DDA0EFAC">
      <w:start w:val="1"/>
      <w:numFmt w:val="bullet"/>
      <w:lvlText w:val=""/>
      <w:lvlJc w:val="left"/>
      <w:pPr>
        <w:ind w:left="720" w:hanging="360"/>
      </w:pPr>
      <w:rPr>
        <w:rFonts w:ascii="Symbol" w:hAnsi="Symbol" w:hint="default"/>
      </w:rPr>
    </w:lvl>
    <w:lvl w:ilvl="1" w:tplc="364676FA">
      <w:start w:val="1"/>
      <w:numFmt w:val="bullet"/>
      <w:lvlText w:val="o"/>
      <w:lvlJc w:val="left"/>
      <w:pPr>
        <w:ind w:left="1440" w:hanging="360"/>
      </w:pPr>
      <w:rPr>
        <w:rFonts w:ascii="Courier New" w:hAnsi="Courier New" w:cs="Courier New" w:hint="default"/>
      </w:rPr>
    </w:lvl>
    <w:lvl w:ilvl="2" w:tplc="C764F4DE" w:tentative="1">
      <w:start w:val="1"/>
      <w:numFmt w:val="bullet"/>
      <w:lvlText w:val=""/>
      <w:lvlJc w:val="left"/>
      <w:pPr>
        <w:ind w:left="2160" w:hanging="360"/>
      </w:pPr>
      <w:rPr>
        <w:rFonts w:ascii="Wingdings" w:hAnsi="Wingdings" w:hint="default"/>
      </w:rPr>
    </w:lvl>
    <w:lvl w:ilvl="3" w:tplc="861A17E8" w:tentative="1">
      <w:start w:val="1"/>
      <w:numFmt w:val="bullet"/>
      <w:lvlText w:val=""/>
      <w:lvlJc w:val="left"/>
      <w:pPr>
        <w:ind w:left="2880" w:hanging="360"/>
      </w:pPr>
      <w:rPr>
        <w:rFonts w:ascii="Symbol" w:hAnsi="Symbol" w:hint="default"/>
      </w:rPr>
    </w:lvl>
    <w:lvl w:ilvl="4" w:tplc="A4A03EC0" w:tentative="1">
      <w:start w:val="1"/>
      <w:numFmt w:val="bullet"/>
      <w:lvlText w:val="o"/>
      <w:lvlJc w:val="left"/>
      <w:pPr>
        <w:ind w:left="3600" w:hanging="360"/>
      </w:pPr>
      <w:rPr>
        <w:rFonts w:ascii="Courier New" w:hAnsi="Courier New" w:cs="Courier New" w:hint="default"/>
      </w:rPr>
    </w:lvl>
    <w:lvl w:ilvl="5" w:tplc="DEC23A66" w:tentative="1">
      <w:start w:val="1"/>
      <w:numFmt w:val="bullet"/>
      <w:lvlText w:val=""/>
      <w:lvlJc w:val="left"/>
      <w:pPr>
        <w:ind w:left="4320" w:hanging="360"/>
      </w:pPr>
      <w:rPr>
        <w:rFonts w:ascii="Wingdings" w:hAnsi="Wingdings" w:hint="default"/>
      </w:rPr>
    </w:lvl>
    <w:lvl w:ilvl="6" w:tplc="A404CF48" w:tentative="1">
      <w:start w:val="1"/>
      <w:numFmt w:val="bullet"/>
      <w:lvlText w:val=""/>
      <w:lvlJc w:val="left"/>
      <w:pPr>
        <w:ind w:left="5040" w:hanging="360"/>
      </w:pPr>
      <w:rPr>
        <w:rFonts w:ascii="Symbol" w:hAnsi="Symbol" w:hint="default"/>
      </w:rPr>
    </w:lvl>
    <w:lvl w:ilvl="7" w:tplc="8A7655BC" w:tentative="1">
      <w:start w:val="1"/>
      <w:numFmt w:val="bullet"/>
      <w:lvlText w:val="o"/>
      <w:lvlJc w:val="left"/>
      <w:pPr>
        <w:ind w:left="5760" w:hanging="360"/>
      </w:pPr>
      <w:rPr>
        <w:rFonts w:ascii="Courier New" w:hAnsi="Courier New" w:cs="Courier New" w:hint="default"/>
      </w:rPr>
    </w:lvl>
    <w:lvl w:ilvl="8" w:tplc="6C26773E" w:tentative="1">
      <w:start w:val="1"/>
      <w:numFmt w:val="bullet"/>
      <w:lvlText w:val=""/>
      <w:lvlJc w:val="left"/>
      <w:pPr>
        <w:ind w:left="6480" w:hanging="360"/>
      </w:pPr>
      <w:rPr>
        <w:rFonts w:ascii="Wingdings" w:hAnsi="Wingdings" w:hint="default"/>
      </w:rPr>
    </w:lvl>
  </w:abstractNum>
  <w:abstractNum w:abstractNumId="11" w15:restartNumberingAfterBreak="0">
    <w:nsid w:val="38CD52B0"/>
    <w:multiLevelType w:val="hybridMultilevel"/>
    <w:tmpl w:val="CC905C3C"/>
    <w:lvl w:ilvl="0" w:tplc="39A0F89E">
      <w:start w:val="1"/>
      <w:numFmt w:val="decimal"/>
      <w:lvlText w:val="%1."/>
      <w:lvlJc w:val="left"/>
      <w:pPr>
        <w:ind w:left="720" w:hanging="360"/>
      </w:pPr>
      <w:rPr>
        <w:rFonts w:cs="Times New Roman"/>
      </w:rPr>
    </w:lvl>
    <w:lvl w:ilvl="1" w:tplc="5C34B2A0" w:tentative="1">
      <w:start w:val="1"/>
      <w:numFmt w:val="lowerLetter"/>
      <w:lvlText w:val="%2."/>
      <w:lvlJc w:val="left"/>
      <w:pPr>
        <w:ind w:left="1440" w:hanging="360"/>
      </w:pPr>
      <w:rPr>
        <w:rFonts w:cs="Times New Roman"/>
      </w:rPr>
    </w:lvl>
    <w:lvl w:ilvl="2" w:tplc="261ED81A" w:tentative="1">
      <w:start w:val="1"/>
      <w:numFmt w:val="lowerRoman"/>
      <w:lvlText w:val="%3."/>
      <w:lvlJc w:val="right"/>
      <w:pPr>
        <w:ind w:left="2160" w:hanging="180"/>
      </w:pPr>
      <w:rPr>
        <w:rFonts w:cs="Times New Roman"/>
      </w:rPr>
    </w:lvl>
    <w:lvl w:ilvl="3" w:tplc="E0A2456A" w:tentative="1">
      <w:start w:val="1"/>
      <w:numFmt w:val="decimal"/>
      <w:lvlText w:val="%4."/>
      <w:lvlJc w:val="left"/>
      <w:pPr>
        <w:ind w:left="2880" w:hanging="360"/>
      </w:pPr>
      <w:rPr>
        <w:rFonts w:cs="Times New Roman"/>
      </w:rPr>
    </w:lvl>
    <w:lvl w:ilvl="4" w:tplc="88E64A4C" w:tentative="1">
      <w:start w:val="1"/>
      <w:numFmt w:val="lowerLetter"/>
      <w:lvlText w:val="%5."/>
      <w:lvlJc w:val="left"/>
      <w:pPr>
        <w:ind w:left="3600" w:hanging="360"/>
      </w:pPr>
      <w:rPr>
        <w:rFonts w:cs="Times New Roman"/>
      </w:rPr>
    </w:lvl>
    <w:lvl w:ilvl="5" w:tplc="9F4A443A" w:tentative="1">
      <w:start w:val="1"/>
      <w:numFmt w:val="lowerRoman"/>
      <w:lvlText w:val="%6."/>
      <w:lvlJc w:val="right"/>
      <w:pPr>
        <w:ind w:left="4320" w:hanging="180"/>
      </w:pPr>
      <w:rPr>
        <w:rFonts w:cs="Times New Roman"/>
      </w:rPr>
    </w:lvl>
    <w:lvl w:ilvl="6" w:tplc="E842D6EA" w:tentative="1">
      <w:start w:val="1"/>
      <w:numFmt w:val="decimal"/>
      <w:lvlText w:val="%7."/>
      <w:lvlJc w:val="left"/>
      <w:pPr>
        <w:ind w:left="5040" w:hanging="360"/>
      </w:pPr>
      <w:rPr>
        <w:rFonts w:cs="Times New Roman"/>
      </w:rPr>
    </w:lvl>
    <w:lvl w:ilvl="7" w:tplc="58A2A2F2" w:tentative="1">
      <w:start w:val="1"/>
      <w:numFmt w:val="lowerLetter"/>
      <w:lvlText w:val="%8."/>
      <w:lvlJc w:val="left"/>
      <w:pPr>
        <w:ind w:left="5760" w:hanging="360"/>
      </w:pPr>
      <w:rPr>
        <w:rFonts w:cs="Times New Roman"/>
      </w:rPr>
    </w:lvl>
    <w:lvl w:ilvl="8" w:tplc="9DDA5EB4" w:tentative="1">
      <w:start w:val="1"/>
      <w:numFmt w:val="lowerRoman"/>
      <w:lvlText w:val="%9."/>
      <w:lvlJc w:val="right"/>
      <w:pPr>
        <w:ind w:left="6480" w:hanging="180"/>
      </w:pPr>
      <w:rPr>
        <w:rFonts w:cs="Times New Roman"/>
      </w:rPr>
    </w:lvl>
  </w:abstractNum>
  <w:abstractNum w:abstractNumId="12" w15:restartNumberingAfterBreak="0">
    <w:nsid w:val="399F42DA"/>
    <w:multiLevelType w:val="hybridMultilevel"/>
    <w:tmpl w:val="8130B4A8"/>
    <w:lvl w:ilvl="0" w:tplc="8B1C447A">
      <w:start w:val="6"/>
      <w:numFmt w:val="decimal"/>
      <w:lvlText w:val="%1"/>
      <w:lvlJc w:val="left"/>
      <w:pPr>
        <w:ind w:left="720" w:hanging="360"/>
      </w:pPr>
      <w:rPr>
        <w:rFonts w:cs="Arial" w:hint="default"/>
      </w:rPr>
    </w:lvl>
    <w:lvl w:ilvl="1" w:tplc="6B3EA94E" w:tentative="1">
      <w:start w:val="1"/>
      <w:numFmt w:val="lowerLetter"/>
      <w:lvlText w:val="%2."/>
      <w:lvlJc w:val="left"/>
      <w:pPr>
        <w:ind w:left="1440" w:hanging="360"/>
      </w:pPr>
    </w:lvl>
    <w:lvl w:ilvl="2" w:tplc="A4EA3A18" w:tentative="1">
      <w:start w:val="1"/>
      <w:numFmt w:val="lowerRoman"/>
      <w:lvlText w:val="%3."/>
      <w:lvlJc w:val="right"/>
      <w:pPr>
        <w:ind w:left="2160" w:hanging="180"/>
      </w:pPr>
    </w:lvl>
    <w:lvl w:ilvl="3" w:tplc="1C683ABA" w:tentative="1">
      <w:start w:val="1"/>
      <w:numFmt w:val="decimal"/>
      <w:lvlText w:val="%4."/>
      <w:lvlJc w:val="left"/>
      <w:pPr>
        <w:ind w:left="2880" w:hanging="360"/>
      </w:pPr>
    </w:lvl>
    <w:lvl w:ilvl="4" w:tplc="666A5386" w:tentative="1">
      <w:start w:val="1"/>
      <w:numFmt w:val="lowerLetter"/>
      <w:lvlText w:val="%5."/>
      <w:lvlJc w:val="left"/>
      <w:pPr>
        <w:ind w:left="3600" w:hanging="360"/>
      </w:pPr>
    </w:lvl>
    <w:lvl w:ilvl="5" w:tplc="AC026302" w:tentative="1">
      <w:start w:val="1"/>
      <w:numFmt w:val="lowerRoman"/>
      <w:lvlText w:val="%6."/>
      <w:lvlJc w:val="right"/>
      <w:pPr>
        <w:ind w:left="4320" w:hanging="180"/>
      </w:pPr>
    </w:lvl>
    <w:lvl w:ilvl="6" w:tplc="BE30C4C4" w:tentative="1">
      <w:start w:val="1"/>
      <w:numFmt w:val="decimal"/>
      <w:lvlText w:val="%7."/>
      <w:lvlJc w:val="left"/>
      <w:pPr>
        <w:ind w:left="5040" w:hanging="360"/>
      </w:pPr>
    </w:lvl>
    <w:lvl w:ilvl="7" w:tplc="2E4EDDE0" w:tentative="1">
      <w:start w:val="1"/>
      <w:numFmt w:val="lowerLetter"/>
      <w:lvlText w:val="%8."/>
      <w:lvlJc w:val="left"/>
      <w:pPr>
        <w:ind w:left="5760" w:hanging="360"/>
      </w:pPr>
    </w:lvl>
    <w:lvl w:ilvl="8" w:tplc="77E89CE4" w:tentative="1">
      <w:start w:val="1"/>
      <w:numFmt w:val="lowerRoman"/>
      <w:lvlText w:val="%9."/>
      <w:lvlJc w:val="right"/>
      <w:pPr>
        <w:ind w:left="6480" w:hanging="180"/>
      </w:pPr>
    </w:lvl>
  </w:abstractNum>
  <w:abstractNum w:abstractNumId="13" w15:restartNumberingAfterBreak="0">
    <w:nsid w:val="3DDF4CAA"/>
    <w:multiLevelType w:val="hybridMultilevel"/>
    <w:tmpl w:val="D5AA52C8"/>
    <w:lvl w:ilvl="0" w:tplc="563834AE">
      <w:start w:val="1"/>
      <w:numFmt w:val="decimal"/>
      <w:lvlText w:val="%1."/>
      <w:lvlJc w:val="left"/>
      <w:pPr>
        <w:ind w:left="502" w:hanging="360"/>
      </w:pPr>
      <w:rPr>
        <w:rFonts w:hint="default"/>
      </w:rPr>
    </w:lvl>
    <w:lvl w:ilvl="1" w:tplc="7D243B22" w:tentative="1">
      <w:start w:val="1"/>
      <w:numFmt w:val="lowerLetter"/>
      <w:lvlText w:val="%2."/>
      <w:lvlJc w:val="left"/>
      <w:pPr>
        <w:ind w:left="1222" w:hanging="360"/>
      </w:pPr>
      <w:rPr>
        <w:rFonts w:cs="Times New Roman"/>
      </w:rPr>
    </w:lvl>
    <w:lvl w:ilvl="2" w:tplc="F9665CBC" w:tentative="1">
      <w:start w:val="1"/>
      <w:numFmt w:val="lowerRoman"/>
      <w:lvlText w:val="%3."/>
      <w:lvlJc w:val="right"/>
      <w:pPr>
        <w:ind w:left="1942" w:hanging="180"/>
      </w:pPr>
      <w:rPr>
        <w:rFonts w:cs="Times New Roman"/>
      </w:rPr>
    </w:lvl>
    <w:lvl w:ilvl="3" w:tplc="20BA0920" w:tentative="1">
      <w:start w:val="1"/>
      <w:numFmt w:val="decimal"/>
      <w:lvlText w:val="%4."/>
      <w:lvlJc w:val="left"/>
      <w:pPr>
        <w:ind w:left="2662" w:hanging="360"/>
      </w:pPr>
      <w:rPr>
        <w:rFonts w:cs="Times New Roman"/>
      </w:rPr>
    </w:lvl>
    <w:lvl w:ilvl="4" w:tplc="55D41ABA" w:tentative="1">
      <w:start w:val="1"/>
      <w:numFmt w:val="lowerLetter"/>
      <w:lvlText w:val="%5."/>
      <w:lvlJc w:val="left"/>
      <w:pPr>
        <w:ind w:left="3382" w:hanging="360"/>
      </w:pPr>
      <w:rPr>
        <w:rFonts w:cs="Times New Roman"/>
      </w:rPr>
    </w:lvl>
    <w:lvl w:ilvl="5" w:tplc="B61E11A4" w:tentative="1">
      <w:start w:val="1"/>
      <w:numFmt w:val="lowerRoman"/>
      <w:lvlText w:val="%6."/>
      <w:lvlJc w:val="right"/>
      <w:pPr>
        <w:ind w:left="4102" w:hanging="180"/>
      </w:pPr>
      <w:rPr>
        <w:rFonts w:cs="Times New Roman"/>
      </w:rPr>
    </w:lvl>
    <w:lvl w:ilvl="6" w:tplc="296EC276" w:tentative="1">
      <w:start w:val="1"/>
      <w:numFmt w:val="decimal"/>
      <w:lvlText w:val="%7."/>
      <w:lvlJc w:val="left"/>
      <w:pPr>
        <w:ind w:left="4822" w:hanging="360"/>
      </w:pPr>
      <w:rPr>
        <w:rFonts w:cs="Times New Roman"/>
      </w:rPr>
    </w:lvl>
    <w:lvl w:ilvl="7" w:tplc="9DF2DC8C" w:tentative="1">
      <w:start w:val="1"/>
      <w:numFmt w:val="lowerLetter"/>
      <w:lvlText w:val="%8."/>
      <w:lvlJc w:val="left"/>
      <w:pPr>
        <w:ind w:left="5542" w:hanging="360"/>
      </w:pPr>
      <w:rPr>
        <w:rFonts w:cs="Times New Roman"/>
      </w:rPr>
    </w:lvl>
    <w:lvl w:ilvl="8" w:tplc="84900B34" w:tentative="1">
      <w:start w:val="1"/>
      <w:numFmt w:val="lowerRoman"/>
      <w:lvlText w:val="%9."/>
      <w:lvlJc w:val="right"/>
      <w:pPr>
        <w:ind w:left="6262" w:hanging="180"/>
      </w:pPr>
      <w:rPr>
        <w:rFonts w:cs="Times New Roman"/>
      </w:rPr>
    </w:lvl>
  </w:abstractNum>
  <w:abstractNum w:abstractNumId="14" w15:restartNumberingAfterBreak="0">
    <w:nsid w:val="46F434E1"/>
    <w:multiLevelType w:val="multilevel"/>
    <w:tmpl w:val="20E69F94"/>
    <w:lvl w:ilvl="0">
      <w:start w:val="1"/>
      <w:numFmt w:val="decimal"/>
      <w:lvlText w:val="%1."/>
      <w:lvlJc w:val="left"/>
      <w:pPr>
        <w:ind w:left="360" w:hanging="360"/>
      </w:pPr>
      <w:rPr>
        <w:rFonts w:cs="Times New Roman"/>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F4E2415"/>
    <w:multiLevelType w:val="hybridMultilevel"/>
    <w:tmpl w:val="8CB0DAFC"/>
    <w:lvl w:ilvl="0" w:tplc="16D8AC78">
      <w:start w:val="7"/>
      <w:numFmt w:val="decimal"/>
      <w:lvlText w:val="%1"/>
      <w:lvlJc w:val="left"/>
      <w:pPr>
        <w:ind w:left="1080" w:hanging="360"/>
      </w:pPr>
      <w:rPr>
        <w:rFonts w:hint="default"/>
      </w:rPr>
    </w:lvl>
    <w:lvl w:ilvl="1" w:tplc="E592A2C4" w:tentative="1">
      <w:start w:val="1"/>
      <w:numFmt w:val="lowerLetter"/>
      <w:lvlText w:val="%2."/>
      <w:lvlJc w:val="left"/>
      <w:pPr>
        <w:ind w:left="1800" w:hanging="360"/>
      </w:pPr>
    </w:lvl>
    <w:lvl w:ilvl="2" w:tplc="D938B728" w:tentative="1">
      <w:start w:val="1"/>
      <w:numFmt w:val="lowerRoman"/>
      <w:lvlText w:val="%3."/>
      <w:lvlJc w:val="right"/>
      <w:pPr>
        <w:ind w:left="2520" w:hanging="180"/>
      </w:pPr>
    </w:lvl>
    <w:lvl w:ilvl="3" w:tplc="1D6C1CE8" w:tentative="1">
      <w:start w:val="1"/>
      <w:numFmt w:val="decimal"/>
      <w:lvlText w:val="%4."/>
      <w:lvlJc w:val="left"/>
      <w:pPr>
        <w:ind w:left="3240" w:hanging="360"/>
      </w:pPr>
    </w:lvl>
    <w:lvl w:ilvl="4" w:tplc="587ABF84" w:tentative="1">
      <w:start w:val="1"/>
      <w:numFmt w:val="lowerLetter"/>
      <w:lvlText w:val="%5."/>
      <w:lvlJc w:val="left"/>
      <w:pPr>
        <w:ind w:left="3960" w:hanging="360"/>
      </w:pPr>
    </w:lvl>
    <w:lvl w:ilvl="5" w:tplc="B83EAE1A" w:tentative="1">
      <w:start w:val="1"/>
      <w:numFmt w:val="lowerRoman"/>
      <w:lvlText w:val="%6."/>
      <w:lvlJc w:val="right"/>
      <w:pPr>
        <w:ind w:left="4680" w:hanging="180"/>
      </w:pPr>
    </w:lvl>
    <w:lvl w:ilvl="6" w:tplc="CAEC60AC" w:tentative="1">
      <w:start w:val="1"/>
      <w:numFmt w:val="decimal"/>
      <w:lvlText w:val="%7."/>
      <w:lvlJc w:val="left"/>
      <w:pPr>
        <w:ind w:left="5400" w:hanging="360"/>
      </w:pPr>
    </w:lvl>
    <w:lvl w:ilvl="7" w:tplc="215885FC" w:tentative="1">
      <w:start w:val="1"/>
      <w:numFmt w:val="lowerLetter"/>
      <w:lvlText w:val="%8."/>
      <w:lvlJc w:val="left"/>
      <w:pPr>
        <w:ind w:left="6120" w:hanging="360"/>
      </w:pPr>
    </w:lvl>
    <w:lvl w:ilvl="8" w:tplc="8B4A0A2C" w:tentative="1">
      <w:start w:val="1"/>
      <w:numFmt w:val="lowerRoman"/>
      <w:lvlText w:val="%9."/>
      <w:lvlJc w:val="right"/>
      <w:pPr>
        <w:ind w:left="6840" w:hanging="180"/>
      </w:pPr>
    </w:lvl>
  </w:abstractNum>
  <w:abstractNum w:abstractNumId="16" w15:restartNumberingAfterBreak="0">
    <w:nsid w:val="519B6D02"/>
    <w:multiLevelType w:val="hybridMultilevel"/>
    <w:tmpl w:val="529E039C"/>
    <w:lvl w:ilvl="0" w:tplc="1DD84C7E">
      <w:start w:val="1"/>
      <w:numFmt w:val="bullet"/>
      <w:lvlText w:val=""/>
      <w:lvlJc w:val="left"/>
      <w:pPr>
        <w:ind w:left="720" w:hanging="360"/>
      </w:pPr>
      <w:rPr>
        <w:rFonts w:ascii="Symbol" w:hAnsi="Symbol" w:hint="default"/>
      </w:rPr>
    </w:lvl>
    <w:lvl w:ilvl="1" w:tplc="E8023CEA" w:tentative="1">
      <w:start w:val="1"/>
      <w:numFmt w:val="bullet"/>
      <w:lvlText w:val="o"/>
      <w:lvlJc w:val="left"/>
      <w:pPr>
        <w:ind w:left="1440" w:hanging="360"/>
      </w:pPr>
      <w:rPr>
        <w:rFonts w:ascii="Courier New" w:hAnsi="Courier New" w:cs="Courier New" w:hint="default"/>
      </w:rPr>
    </w:lvl>
    <w:lvl w:ilvl="2" w:tplc="5E42A6BE" w:tentative="1">
      <w:start w:val="1"/>
      <w:numFmt w:val="bullet"/>
      <w:lvlText w:val=""/>
      <w:lvlJc w:val="left"/>
      <w:pPr>
        <w:ind w:left="2160" w:hanging="360"/>
      </w:pPr>
      <w:rPr>
        <w:rFonts w:ascii="Wingdings" w:hAnsi="Wingdings" w:hint="default"/>
      </w:rPr>
    </w:lvl>
    <w:lvl w:ilvl="3" w:tplc="4658EA06" w:tentative="1">
      <w:start w:val="1"/>
      <w:numFmt w:val="bullet"/>
      <w:lvlText w:val=""/>
      <w:lvlJc w:val="left"/>
      <w:pPr>
        <w:ind w:left="2880" w:hanging="360"/>
      </w:pPr>
      <w:rPr>
        <w:rFonts w:ascii="Symbol" w:hAnsi="Symbol" w:hint="default"/>
      </w:rPr>
    </w:lvl>
    <w:lvl w:ilvl="4" w:tplc="AB80BE38" w:tentative="1">
      <w:start w:val="1"/>
      <w:numFmt w:val="bullet"/>
      <w:lvlText w:val="o"/>
      <w:lvlJc w:val="left"/>
      <w:pPr>
        <w:ind w:left="3600" w:hanging="360"/>
      </w:pPr>
      <w:rPr>
        <w:rFonts w:ascii="Courier New" w:hAnsi="Courier New" w:cs="Courier New" w:hint="default"/>
      </w:rPr>
    </w:lvl>
    <w:lvl w:ilvl="5" w:tplc="231AFB42" w:tentative="1">
      <w:start w:val="1"/>
      <w:numFmt w:val="bullet"/>
      <w:lvlText w:val=""/>
      <w:lvlJc w:val="left"/>
      <w:pPr>
        <w:ind w:left="4320" w:hanging="360"/>
      </w:pPr>
      <w:rPr>
        <w:rFonts w:ascii="Wingdings" w:hAnsi="Wingdings" w:hint="default"/>
      </w:rPr>
    </w:lvl>
    <w:lvl w:ilvl="6" w:tplc="D158AA34" w:tentative="1">
      <w:start w:val="1"/>
      <w:numFmt w:val="bullet"/>
      <w:lvlText w:val=""/>
      <w:lvlJc w:val="left"/>
      <w:pPr>
        <w:ind w:left="5040" w:hanging="360"/>
      </w:pPr>
      <w:rPr>
        <w:rFonts w:ascii="Symbol" w:hAnsi="Symbol" w:hint="default"/>
      </w:rPr>
    </w:lvl>
    <w:lvl w:ilvl="7" w:tplc="2062D15A" w:tentative="1">
      <w:start w:val="1"/>
      <w:numFmt w:val="bullet"/>
      <w:lvlText w:val="o"/>
      <w:lvlJc w:val="left"/>
      <w:pPr>
        <w:ind w:left="5760" w:hanging="360"/>
      </w:pPr>
      <w:rPr>
        <w:rFonts w:ascii="Courier New" w:hAnsi="Courier New" w:cs="Courier New" w:hint="default"/>
      </w:rPr>
    </w:lvl>
    <w:lvl w:ilvl="8" w:tplc="11F418BC" w:tentative="1">
      <w:start w:val="1"/>
      <w:numFmt w:val="bullet"/>
      <w:lvlText w:val=""/>
      <w:lvlJc w:val="left"/>
      <w:pPr>
        <w:ind w:left="6480" w:hanging="360"/>
      </w:pPr>
      <w:rPr>
        <w:rFonts w:ascii="Wingdings" w:hAnsi="Wingdings" w:hint="default"/>
      </w:rPr>
    </w:lvl>
  </w:abstractNum>
  <w:abstractNum w:abstractNumId="17" w15:restartNumberingAfterBreak="0">
    <w:nsid w:val="53175FE3"/>
    <w:multiLevelType w:val="hybridMultilevel"/>
    <w:tmpl w:val="C31ECC9C"/>
    <w:lvl w:ilvl="0" w:tplc="D2BC231E">
      <w:start w:val="1"/>
      <w:numFmt w:val="decimal"/>
      <w:lvlText w:val="%1."/>
      <w:lvlJc w:val="left"/>
      <w:pPr>
        <w:ind w:left="786" w:hanging="360"/>
      </w:pPr>
      <w:rPr>
        <w:rFonts w:cs="Times New Roman" w:hint="default"/>
        <w:b w:val="0"/>
        <w:sz w:val="20"/>
        <w:szCs w:val="20"/>
      </w:rPr>
    </w:lvl>
    <w:lvl w:ilvl="1" w:tplc="8A4298B2" w:tentative="1">
      <w:start w:val="1"/>
      <w:numFmt w:val="lowerLetter"/>
      <w:lvlText w:val="%2."/>
      <w:lvlJc w:val="left"/>
      <w:pPr>
        <w:ind w:left="1364" w:hanging="360"/>
      </w:pPr>
      <w:rPr>
        <w:rFonts w:cs="Times New Roman"/>
      </w:rPr>
    </w:lvl>
    <w:lvl w:ilvl="2" w:tplc="5DDADE66" w:tentative="1">
      <w:start w:val="1"/>
      <w:numFmt w:val="lowerRoman"/>
      <w:lvlText w:val="%3."/>
      <w:lvlJc w:val="right"/>
      <w:pPr>
        <w:ind w:left="2084" w:hanging="180"/>
      </w:pPr>
      <w:rPr>
        <w:rFonts w:cs="Times New Roman"/>
      </w:rPr>
    </w:lvl>
    <w:lvl w:ilvl="3" w:tplc="80C0C018" w:tentative="1">
      <w:start w:val="1"/>
      <w:numFmt w:val="decimal"/>
      <w:lvlText w:val="%4."/>
      <w:lvlJc w:val="left"/>
      <w:pPr>
        <w:ind w:left="2804" w:hanging="360"/>
      </w:pPr>
      <w:rPr>
        <w:rFonts w:cs="Times New Roman"/>
      </w:rPr>
    </w:lvl>
    <w:lvl w:ilvl="4" w:tplc="E5D2591A" w:tentative="1">
      <w:start w:val="1"/>
      <w:numFmt w:val="lowerLetter"/>
      <w:lvlText w:val="%5."/>
      <w:lvlJc w:val="left"/>
      <w:pPr>
        <w:ind w:left="3524" w:hanging="360"/>
      </w:pPr>
      <w:rPr>
        <w:rFonts w:cs="Times New Roman"/>
      </w:rPr>
    </w:lvl>
    <w:lvl w:ilvl="5" w:tplc="D5802A2E" w:tentative="1">
      <w:start w:val="1"/>
      <w:numFmt w:val="lowerRoman"/>
      <w:lvlText w:val="%6."/>
      <w:lvlJc w:val="right"/>
      <w:pPr>
        <w:ind w:left="4244" w:hanging="180"/>
      </w:pPr>
      <w:rPr>
        <w:rFonts w:cs="Times New Roman"/>
      </w:rPr>
    </w:lvl>
    <w:lvl w:ilvl="6" w:tplc="99526E1A" w:tentative="1">
      <w:start w:val="1"/>
      <w:numFmt w:val="decimal"/>
      <w:lvlText w:val="%7."/>
      <w:lvlJc w:val="left"/>
      <w:pPr>
        <w:ind w:left="4964" w:hanging="360"/>
      </w:pPr>
      <w:rPr>
        <w:rFonts w:cs="Times New Roman"/>
      </w:rPr>
    </w:lvl>
    <w:lvl w:ilvl="7" w:tplc="7324CDB8" w:tentative="1">
      <w:start w:val="1"/>
      <w:numFmt w:val="lowerLetter"/>
      <w:lvlText w:val="%8."/>
      <w:lvlJc w:val="left"/>
      <w:pPr>
        <w:ind w:left="5684" w:hanging="360"/>
      </w:pPr>
      <w:rPr>
        <w:rFonts w:cs="Times New Roman"/>
      </w:rPr>
    </w:lvl>
    <w:lvl w:ilvl="8" w:tplc="A6742B62" w:tentative="1">
      <w:start w:val="1"/>
      <w:numFmt w:val="lowerRoman"/>
      <w:lvlText w:val="%9."/>
      <w:lvlJc w:val="right"/>
      <w:pPr>
        <w:ind w:left="6404" w:hanging="180"/>
      </w:pPr>
      <w:rPr>
        <w:rFonts w:cs="Times New Roman"/>
      </w:rPr>
    </w:lvl>
  </w:abstractNum>
  <w:abstractNum w:abstractNumId="18" w15:restartNumberingAfterBreak="0">
    <w:nsid w:val="55CC2815"/>
    <w:multiLevelType w:val="hybridMultilevel"/>
    <w:tmpl w:val="299839BA"/>
    <w:lvl w:ilvl="0" w:tplc="51BE50D0">
      <w:start w:val="12"/>
      <w:numFmt w:val="decimal"/>
      <w:lvlText w:val="%1"/>
      <w:lvlJc w:val="left"/>
      <w:pPr>
        <w:ind w:left="720" w:hanging="360"/>
      </w:pPr>
      <w:rPr>
        <w:rFonts w:cs="Times New Roman" w:hint="default"/>
        <w:color w:val="auto"/>
      </w:rPr>
    </w:lvl>
    <w:lvl w:ilvl="1" w:tplc="B762B1CA" w:tentative="1">
      <w:start w:val="1"/>
      <w:numFmt w:val="lowerLetter"/>
      <w:lvlText w:val="%2."/>
      <w:lvlJc w:val="left"/>
      <w:pPr>
        <w:ind w:left="1440" w:hanging="360"/>
      </w:pPr>
      <w:rPr>
        <w:rFonts w:cs="Times New Roman"/>
      </w:rPr>
    </w:lvl>
    <w:lvl w:ilvl="2" w:tplc="28E2AC9C" w:tentative="1">
      <w:start w:val="1"/>
      <w:numFmt w:val="lowerRoman"/>
      <w:lvlText w:val="%3."/>
      <w:lvlJc w:val="right"/>
      <w:pPr>
        <w:ind w:left="2160" w:hanging="180"/>
      </w:pPr>
      <w:rPr>
        <w:rFonts w:cs="Times New Roman"/>
      </w:rPr>
    </w:lvl>
    <w:lvl w:ilvl="3" w:tplc="6DE08E5E" w:tentative="1">
      <w:start w:val="1"/>
      <w:numFmt w:val="decimal"/>
      <w:lvlText w:val="%4."/>
      <w:lvlJc w:val="left"/>
      <w:pPr>
        <w:ind w:left="2880" w:hanging="360"/>
      </w:pPr>
      <w:rPr>
        <w:rFonts w:cs="Times New Roman"/>
      </w:rPr>
    </w:lvl>
    <w:lvl w:ilvl="4" w:tplc="5540F3B8" w:tentative="1">
      <w:start w:val="1"/>
      <w:numFmt w:val="lowerLetter"/>
      <w:lvlText w:val="%5."/>
      <w:lvlJc w:val="left"/>
      <w:pPr>
        <w:ind w:left="3600" w:hanging="360"/>
      </w:pPr>
      <w:rPr>
        <w:rFonts w:cs="Times New Roman"/>
      </w:rPr>
    </w:lvl>
    <w:lvl w:ilvl="5" w:tplc="A1CCAC58" w:tentative="1">
      <w:start w:val="1"/>
      <w:numFmt w:val="lowerRoman"/>
      <w:lvlText w:val="%6."/>
      <w:lvlJc w:val="right"/>
      <w:pPr>
        <w:ind w:left="4320" w:hanging="180"/>
      </w:pPr>
      <w:rPr>
        <w:rFonts w:cs="Times New Roman"/>
      </w:rPr>
    </w:lvl>
    <w:lvl w:ilvl="6" w:tplc="29EA6FCE" w:tentative="1">
      <w:start w:val="1"/>
      <w:numFmt w:val="decimal"/>
      <w:lvlText w:val="%7."/>
      <w:lvlJc w:val="left"/>
      <w:pPr>
        <w:ind w:left="5040" w:hanging="360"/>
      </w:pPr>
      <w:rPr>
        <w:rFonts w:cs="Times New Roman"/>
      </w:rPr>
    </w:lvl>
    <w:lvl w:ilvl="7" w:tplc="C4EADCAC" w:tentative="1">
      <w:start w:val="1"/>
      <w:numFmt w:val="lowerLetter"/>
      <w:lvlText w:val="%8."/>
      <w:lvlJc w:val="left"/>
      <w:pPr>
        <w:ind w:left="5760" w:hanging="360"/>
      </w:pPr>
      <w:rPr>
        <w:rFonts w:cs="Times New Roman"/>
      </w:rPr>
    </w:lvl>
    <w:lvl w:ilvl="8" w:tplc="5992BFE2" w:tentative="1">
      <w:start w:val="1"/>
      <w:numFmt w:val="lowerRoman"/>
      <w:lvlText w:val="%9."/>
      <w:lvlJc w:val="right"/>
      <w:pPr>
        <w:ind w:left="6480" w:hanging="180"/>
      </w:pPr>
      <w:rPr>
        <w:rFonts w:cs="Times New Roman"/>
      </w:rPr>
    </w:lvl>
  </w:abstractNum>
  <w:abstractNum w:abstractNumId="19" w15:restartNumberingAfterBreak="0">
    <w:nsid w:val="62E962C0"/>
    <w:multiLevelType w:val="hybridMultilevel"/>
    <w:tmpl w:val="0524B47E"/>
    <w:lvl w:ilvl="0" w:tplc="D0FA809A">
      <w:start w:val="1"/>
      <w:numFmt w:val="decimal"/>
      <w:lvlText w:val="%1."/>
      <w:lvlJc w:val="left"/>
      <w:pPr>
        <w:ind w:left="720" w:hanging="360"/>
      </w:pPr>
      <w:rPr>
        <w:rFonts w:cs="Times New Roman" w:hint="default"/>
      </w:rPr>
    </w:lvl>
    <w:lvl w:ilvl="1" w:tplc="3A3C6F74" w:tentative="1">
      <w:start w:val="1"/>
      <w:numFmt w:val="lowerLetter"/>
      <w:lvlText w:val="%2."/>
      <w:lvlJc w:val="left"/>
      <w:pPr>
        <w:ind w:left="1440" w:hanging="360"/>
      </w:pPr>
      <w:rPr>
        <w:rFonts w:cs="Times New Roman"/>
      </w:rPr>
    </w:lvl>
    <w:lvl w:ilvl="2" w:tplc="259299E8" w:tentative="1">
      <w:start w:val="1"/>
      <w:numFmt w:val="lowerRoman"/>
      <w:lvlText w:val="%3."/>
      <w:lvlJc w:val="right"/>
      <w:pPr>
        <w:ind w:left="2160" w:hanging="180"/>
      </w:pPr>
      <w:rPr>
        <w:rFonts w:cs="Times New Roman"/>
      </w:rPr>
    </w:lvl>
    <w:lvl w:ilvl="3" w:tplc="E07A34BE" w:tentative="1">
      <w:start w:val="1"/>
      <w:numFmt w:val="decimal"/>
      <w:lvlText w:val="%4."/>
      <w:lvlJc w:val="left"/>
      <w:pPr>
        <w:ind w:left="2880" w:hanging="360"/>
      </w:pPr>
      <w:rPr>
        <w:rFonts w:cs="Times New Roman"/>
      </w:rPr>
    </w:lvl>
    <w:lvl w:ilvl="4" w:tplc="C9F2C0CE" w:tentative="1">
      <w:start w:val="1"/>
      <w:numFmt w:val="lowerLetter"/>
      <w:lvlText w:val="%5."/>
      <w:lvlJc w:val="left"/>
      <w:pPr>
        <w:ind w:left="3600" w:hanging="360"/>
      </w:pPr>
      <w:rPr>
        <w:rFonts w:cs="Times New Roman"/>
      </w:rPr>
    </w:lvl>
    <w:lvl w:ilvl="5" w:tplc="3A7C1E1E" w:tentative="1">
      <w:start w:val="1"/>
      <w:numFmt w:val="lowerRoman"/>
      <w:lvlText w:val="%6."/>
      <w:lvlJc w:val="right"/>
      <w:pPr>
        <w:ind w:left="4320" w:hanging="180"/>
      </w:pPr>
      <w:rPr>
        <w:rFonts w:cs="Times New Roman"/>
      </w:rPr>
    </w:lvl>
    <w:lvl w:ilvl="6" w:tplc="E120345A" w:tentative="1">
      <w:start w:val="1"/>
      <w:numFmt w:val="decimal"/>
      <w:lvlText w:val="%7."/>
      <w:lvlJc w:val="left"/>
      <w:pPr>
        <w:ind w:left="5040" w:hanging="360"/>
      </w:pPr>
      <w:rPr>
        <w:rFonts w:cs="Times New Roman"/>
      </w:rPr>
    </w:lvl>
    <w:lvl w:ilvl="7" w:tplc="B800539A" w:tentative="1">
      <w:start w:val="1"/>
      <w:numFmt w:val="lowerLetter"/>
      <w:lvlText w:val="%8."/>
      <w:lvlJc w:val="left"/>
      <w:pPr>
        <w:ind w:left="5760" w:hanging="360"/>
      </w:pPr>
      <w:rPr>
        <w:rFonts w:cs="Times New Roman"/>
      </w:rPr>
    </w:lvl>
    <w:lvl w:ilvl="8" w:tplc="C3122DFA" w:tentative="1">
      <w:start w:val="1"/>
      <w:numFmt w:val="lowerRoman"/>
      <w:lvlText w:val="%9."/>
      <w:lvlJc w:val="right"/>
      <w:pPr>
        <w:ind w:left="6480" w:hanging="180"/>
      </w:pPr>
      <w:rPr>
        <w:rFonts w:cs="Times New Roman"/>
      </w:rPr>
    </w:lvl>
  </w:abstractNum>
  <w:abstractNum w:abstractNumId="20" w15:restartNumberingAfterBreak="0">
    <w:nsid w:val="69187EAD"/>
    <w:multiLevelType w:val="hybridMultilevel"/>
    <w:tmpl w:val="2CB2FC14"/>
    <w:lvl w:ilvl="0" w:tplc="473C545A">
      <w:start w:val="1"/>
      <w:numFmt w:val="decimal"/>
      <w:lvlText w:val="%1."/>
      <w:lvlJc w:val="left"/>
      <w:pPr>
        <w:ind w:left="360" w:hanging="360"/>
      </w:pPr>
      <w:rPr>
        <w:rFonts w:cs="Times New Roman" w:hint="default"/>
      </w:rPr>
    </w:lvl>
    <w:lvl w:ilvl="1" w:tplc="80781C9E" w:tentative="1">
      <w:start w:val="1"/>
      <w:numFmt w:val="lowerLetter"/>
      <w:lvlText w:val="%2."/>
      <w:lvlJc w:val="left"/>
      <w:pPr>
        <w:ind w:left="1440" w:hanging="360"/>
      </w:pPr>
      <w:rPr>
        <w:rFonts w:cs="Times New Roman"/>
      </w:rPr>
    </w:lvl>
    <w:lvl w:ilvl="2" w:tplc="3B5CAA4E" w:tentative="1">
      <w:start w:val="1"/>
      <w:numFmt w:val="lowerRoman"/>
      <w:lvlText w:val="%3."/>
      <w:lvlJc w:val="right"/>
      <w:pPr>
        <w:ind w:left="2160" w:hanging="180"/>
      </w:pPr>
      <w:rPr>
        <w:rFonts w:cs="Times New Roman"/>
      </w:rPr>
    </w:lvl>
    <w:lvl w:ilvl="3" w:tplc="E44AAD00" w:tentative="1">
      <w:start w:val="1"/>
      <w:numFmt w:val="decimal"/>
      <w:lvlText w:val="%4."/>
      <w:lvlJc w:val="left"/>
      <w:pPr>
        <w:ind w:left="2880" w:hanging="360"/>
      </w:pPr>
      <w:rPr>
        <w:rFonts w:cs="Times New Roman"/>
      </w:rPr>
    </w:lvl>
    <w:lvl w:ilvl="4" w:tplc="8AD6C35C" w:tentative="1">
      <w:start w:val="1"/>
      <w:numFmt w:val="lowerLetter"/>
      <w:lvlText w:val="%5."/>
      <w:lvlJc w:val="left"/>
      <w:pPr>
        <w:ind w:left="3600" w:hanging="360"/>
      </w:pPr>
      <w:rPr>
        <w:rFonts w:cs="Times New Roman"/>
      </w:rPr>
    </w:lvl>
    <w:lvl w:ilvl="5" w:tplc="12C46684" w:tentative="1">
      <w:start w:val="1"/>
      <w:numFmt w:val="lowerRoman"/>
      <w:lvlText w:val="%6."/>
      <w:lvlJc w:val="right"/>
      <w:pPr>
        <w:ind w:left="4320" w:hanging="180"/>
      </w:pPr>
      <w:rPr>
        <w:rFonts w:cs="Times New Roman"/>
      </w:rPr>
    </w:lvl>
    <w:lvl w:ilvl="6" w:tplc="6148936E" w:tentative="1">
      <w:start w:val="1"/>
      <w:numFmt w:val="decimal"/>
      <w:lvlText w:val="%7."/>
      <w:lvlJc w:val="left"/>
      <w:pPr>
        <w:ind w:left="5040" w:hanging="360"/>
      </w:pPr>
      <w:rPr>
        <w:rFonts w:cs="Times New Roman"/>
      </w:rPr>
    </w:lvl>
    <w:lvl w:ilvl="7" w:tplc="55C61AC6" w:tentative="1">
      <w:start w:val="1"/>
      <w:numFmt w:val="lowerLetter"/>
      <w:lvlText w:val="%8."/>
      <w:lvlJc w:val="left"/>
      <w:pPr>
        <w:ind w:left="5760" w:hanging="360"/>
      </w:pPr>
      <w:rPr>
        <w:rFonts w:cs="Times New Roman"/>
      </w:rPr>
    </w:lvl>
    <w:lvl w:ilvl="8" w:tplc="8826A90C" w:tentative="1">
      <w:start w:val="1"/>
      <w:numFmt w:val="lowerRoman"/>
      <w:lvlText w:val="%9."/>
      <w:lvlJc w:val="right"/>
      <w:pPr>
        <w:ind w:left="6480" w:hanging="180"/>
      </w:pPr>
      <w:rPr>
        <w:rFonts w:cs="Times New Roman"/>
      </w:rPr>
    </w:lvl>
  </w:abstractNum>
  <w:abstractNum w:abstractNumId="21" w15:restartNumberingAfterBreak="0">
    <w:nsid w:val="69D54FB6"/>
    <w:multiLevelType w:val="hybridMultilevel"/>
    <w:tmpl w:val="3E549AE0"/>
    <w:lvl w:ilvl="0" w:tplc="07B03746">
      <w:start w:val="2"/>
      <w:numFmt w:val="bullet"/>
      <w:lvlText w:val="-"/>
      <w:lvlJc w:val="left"/>
      <w:pPr>
        <w:ind w:left="810" w:hanging="360"/>
      </w:pPr>
      <w:rPr>
        <w:rFonts w:ascii="Arial" w:eastAsia="Times New Roman" w:hAnsi="Arial" w:hint="default"/>
      </w:rPr>
    </w:lvl>
    <w:lvl w:ilvl="1" w:tplc="FD0E9B0C" w:tentative="1">
      <w:start w:val="1"/>
      <w:numFmt w:val="bullet"/>
      <w:lvlText w:val="o"/>
      <w:lvlJc w:val="left"/>
      <w:pPr>
        <w:ind w:left="1530" w:hanging="360"/>
      </w:pPr>
      <w:rPr>
        <w:rFonts w:ascii="Courier New" w:hAnsi="Courier New" w:hint="default"/>
      </w:rPr>
    </w:lvl>
    <w:lvl w:ilvl="2" w:tplc="AA726CBE" w:tentative="1">
      <w:start w:val="1"/>
      <w:numFmt w:val="bullet"/>
      <w:lvlText w:val=""/>
      <w:lvlJc w:val="left"/>
      <w:pPr>
        <w:ind w:left="2250" w:hanging="360"/>
      </w:pPr>
      <w:rPr>
        <w:rFonts w:ascii="Wingdings" w:hAnsi="Wingdings" w:hint="default"/>
      </w:rPr>
    </w:lvl>
    <w:lvl w:ilvl="3" w:tplc="2EF03442" w:tentative="1">
      <w:start w:val="1"/>
      <w:numFmt w:val="bullet"/>
      <w:lvlText w:val=""/>
      <w:lvlJc w:val="left"/>
      <w:pPr>
        <w:ind w:left="2970" w:hanging="360"/>
      </w:pPr>
      <w:rPr>
        <w:rFonts w:ascii="Symbol" w:hAnsi="Symbol" w:hint="default"/>
      </w:rPr>
    </w:lvl>
    <w:lvl w:ilvl="4" w:tplc="1CECEC36" w:tentative="1">
      <w:start w:val="1"/>
      <w:numFmt w:val="bullet"/>
      <w:lvlText w:val="o"/>
      <w:lvlJc w:val="left"/>
      <w:pPr>
        <w:ind w:left="3690" w:hanging="360"/>
      </w:pPr>
      <w:rPr>
        <w:rFonts w:ascii="Courier New" w:hAnsi="Courier New" w:hint="default"/>
      </w:rPr>
    </w:lvl>
    <w:lvl w:ilvl="5" w:tplc="73F882D0" w:tentative="1">
      <w:start w:val="1"/>
      <w:numFmt w:val="bullet"/>
      <w:lvlText w:val=""/>
      <w:lvlJc w:val="left"/>
      <w:pPr>
        <w:ind w:left="4410" w:hanging="360"/>
      </w:pPr>
      <w:rPr>
        <w:rFonts w:ascii="Wingdings" w:hAnsi="Wingdings" w:hint="default"/>
      </w:rPr>
    </w:lvl>
    <w:lvl w:ilvl="6" w:tplc="D6681388" w:tentative="1">
      <w:start w:val="1"/>
      <w:numFmt w:val="bullet"/>
      <w:lvlText w:val=""/>
      <w:lvlJc w:val="left"/>
      <w:pPr>
        <w:ind w:left="5130" w:hanging="360"/>
      </w:pPr>
      <w:rPr>
        <w:rFonts w:ascii="Symbol" w:hAnsi="Symbol" w:hint="default"/>
      </w:rPr>
    </w:lvl>
    <w:lvl w:ilvl="7" w:tplc="AF0858D6" w:tentative="1">
      <w:start w:val="1"/>
      <w:numFmt w:val="bullet"/>
      <w:lvlText w:val="o"/>
      <w:lvlJc w:val="left"/>
      <w:pPr>
        <w:ind w:left="5850" w:hanging="360"/>
      </w:pPr>
      <w:rPr>
        <w:rFonts w:ascii="Courier New" w:hAnsi="Courier New" w:hint="default"/>
      </w:rPr>
    </w:lvl>
    <w:lvl w:ilvl="8" w:tplc="82684FD8" w:tentative="1">
      <w:start w:val="1"/>
      <w:numFmt w:val="bullet"/>
      <w:lvlText w:val=""/>
      <w:lvlJc w:val="left"/>
      <w:pPr>
        <w:ind w:left="6570" w:hanging="360"/>
      </w:pPr>
      <w:rPr>
        <w:rFonts w:ascii="Wingdings" w:hAnsi="Wingdings" w:hint="default"/>
      </w:rPr>
    </w:lvl>
  </w:abstractNum>
  <w:abstractNum w:abstractNumId="22" w15:restartNumberingAfterBreak="0">
    <w:nsid w:val="6A4B1F2B"/>
    <w:multiLevelType w:val="hybridMultilevel"/>
    <w:tmpl w:val="42B4836C"/>
    <w:lvl w:ilvl="0" w:tplc="BD389B38">
      <w:start w:val="1"/>
      <w:numFmt w:val="decimal"/>
      <w:lvlText w:val="%1."/>
      <w:lvlJc w:val="left"/>
      <w:pPr>
        <w:ind w:left="786" w:hanging="360"/>
      </w:pPr>
      <w:rPr>
        <w:rFonts w:cs="Times New Roman" w:hint="default"/>
      </w:rPr>
    </w:lvl>
    <w:lvl w:ilvl="1" w:tplc="2D2A165C" w:tentative="1">
      <w:start w:val="1"/>
      <w:numFmt w:val="lowerLetter"/>
      <w:lvlText w:val="%2."/>
      <w:lvlJc w:val="left"/>
      <w:pPr>
        <w:ind w:left="1440" w:hanging="360"/>
      </w:pPr>
      <w:rPr>
        <w:rFonts w:cs="Times New Roman"/>
      </w:rPr>
    </w:lvl>
    <w:lvl w:ilvl="2" w:tplc="0DB07D76" w:tentative="1">
      <w:start w:val="1"/>
      <w:numFmt w:val="lowerRoman"/>
      <w:lvlText w:val="%3."/>
      <w:lvlJc w:val="right"/>
      <w:pPr>
        <w:ind w:left="2160" w:hanging="180"/>
      </w:pPr>
      <w:rPr>
        <w:rFonts w:cs="Times New Roman"/>
      </w:rPr>
    </w:lvl>
    <w:lvl w:ilvl="3" w:tplc="A30EFFBE" w:tentative="1">
      <w:start w:val="1"/>
      <w:numFmt w:val="decimal"/>
      <w:lvlText w:val="%4."/>
      <w:lvlJc w:val="left"/>
      <w:pPr>
        <w:ind w:left="2880" w:hanging="360"/>
      </w:pPr>
      <w:rPr>
        <w:rFonts w:cs="Times New Roman"/>
      </w:rPr>
    </w:lvl>
    <w:lvl w:ilvl="4" w:tplc="C0783466" w:tentative="1">
      <w:start w:val="1"/>
      <w:numFmt w:val="lowerLetter"/>
      <w:lvlText w:val="%5."/>
      <w:lvlJc w:val="left"/>
      <w:pPr>
        <w:ind w:left="3600" w:hanging="360"/>
      </w:pPr>
      <w:rPr>
        <w:rFonts w:cs="Times New Roman"/>
      </w:rPr>
    </w:lvl>
    <w:lvl w:ilvl="5" w:tplc="78A48E4A" w:tentative="1">
      <w:start w:val="1"/>
      <w:numFmt w:val="lowerRoman"/>
      <w:lvlText w:val="%6."/>
      <w:lvlJc w:val="right"/>
      <w:pPr>
        <w:ind w:left="4320" w:hanging="180"/>
      </w:pPr>
      <w:rPr>
        <w:rFonts w:cs="Times New Roman"/>
      </w:rPr>
    </w:lvl>
    <w:lvl w:ilvl="6" w:tplc="1C4E438A" w:tentative="1">
      <w:start w:val="1"/>
      <w:numFmt w:val="decimal"/>
      <w:lvlText w:val="%7."/>
      <w:lvlJc w:val="left"/>
      <w:pPr>
        <w:ind w:left="5040" w:hanging="360"/>
      </w:pPr>
      <w:rPr>
        <w:rFonts w:cs="Times New Roman"/>
      </w:rPr>
    </w:lvl>
    <w:lvl w:ilvl="7" w:tplc="9B8E1E6C" w:tentative="1">
      <w:start w:val="1"/>
      <w:numFmt w:val="lowerLetter"/>
      <w:lvlText w:val="%8."/>
      <w:lvlJc w:val="left"/>
      <w:pPr>
        <w:ind w:left="5760" w:hanging="360"/>
      </w:pPr>
      <w:rPr>
        <w:rFonts w:cs="Times New Roman"/>
      </w:rPr>
    </w:lvl>
    <w:lvl w:ilvl="8" w:tplc="9FF06AC6" w:tentative="1">
      <w:start w:val="1"/>
      <w:numFmt w:val="lowerRoman"/>
      <w:lvlText w:val="%9."/>
      <w:lvlJc w:val="right"/>
      <w:pPr>
        <w:ind w:left="6480" w:hanging="180"/>
      </w:pPr>
      <w:rPr>
        <w:rFonts w:cs="Times New Roman"/>
      </w:rPr>
    </w:lvl>
  </w:abstractNum>
  <w:abstractNum w:abstractNumId="23" w15:restartNumberingAfterBreak="0">
    <w:nsid w:val="6BEE6257"/>
    <w:multiLevelType w:val="hybridMultilevel"/>
    <w:tmpl w:val="FF840AF2"/>
    <w:lvl w:ilvl="0" w:tplc="055ABC36">
      <w:start w:val="1"/>
      <w:numFmt w:val="bullet"/>
      <w:lvlText w:val=""/>
      <w:lvlJc w:val="left"/>
      <w:pPr>
        <w:ind w:left="720" w:hanging="360"/>
      </w:pPr>
      <w:rPr>
        <w:rFonts w:ascii="Symbol" w:hAnsi="Symbol" w:hint="default"/>
      </w:rPr>
    </w:lvl>
    <w:lvl w:ilvl="1" w:tplc="077A1B30" w:tentative="1">
      <w:start w:val="1"/>
      <w:numFmt w:val="bullet"/>
      <w:lvlText w:val="o"/>
      <w:lvlJc w:val="left"/>
      <w:pPr>
        <w:ind w:left="1440" w:hanging="360"/>
      </w:pPr>
      <w:rPr>
        <w:rFonts w:ascii="Courier New" w:hAnsi="Courier New" w:cs="Courier New" w:hint="default"/>
      </w:rPr>
    </w:lvl>
    <w:lvl w:ilvl="2" w:tplc="7D1AD044" w:tentative="1">
      <w:start w:val="1"/>
      <w:numFmt w:val="bullet"/>
      <w:lvlText w:val=""/>
      <w:lvlJc w:val="left"/>
      <w:pPr>
        <w:ind w:left="2160" w:hanging="360"/>
      </w:pPr>
      <w:rPr>
        <w:rFonts w:ascii="Wingdings" w:hAnsi="Wingdings" w:hint="default"/>
      </w:rPr>
    </w:lvl>
    <w:lvl w:ilvl="3" w:tplc="7ABCFB3A" w:tentative="1">
      <w:start w:val="1"/>
      <w:numFmt w:val="bullet"/>
      <w:lvlText w:val=""/>
      <w:lvlJc w:val="left"/>
      <w:pPr>
        <w:ind w:left="2880" w:hanging="360"/>
      </w:pPr>
      <w:rPr>
        <w:rFonts w:ascii="Symbol" w:hAnsi="Symbol" w:hint="default"/>
      </w:rPr>
    </w:lvl>
    <w:lvl w:ilvl="4" w:tplc="A6E63D86" w:tentative="1">
      <w:start w:val="1"/>
      <w:numFmt w:val="bullet"/>
      <w:lvlText w:val="o"/>
      <w:lvlJc w:val="left"/>
      <w:pPr>
        <w:ind w:left="3600" w:hanging="360"/>
      </w:pPr>
      <w:rPr>
        <w:rFonts w:ascii="Courier New" w:hAnsi="Courier New" w:cs="Courier New" w:hint="default"/>
      </w:rPr>
    </w:lvl>
    <w:lvl w:ilvl="5" w:tplc="9F5E4A00" w:tentative="1">
      <w:start w:val="1"/>
      <w:numFmt w:val="bullet"/>
      <w:lvlText w:val=""/>
      <w:lvlJc w:val="left"/>
      <w:pPr>
        <w:ind w:left="4320" w:hanging="360"/>
      </w:pPr>
      <w:rPr>
        <w:rFonts w:ascii="Wingdings" w:hAnsi="Wingdings" w:hint="default"/>
      </w:rPr>
    </w:lvl>
    <w:lvl w:ilvl="6" w:tplc="453C8714" w:tentative="1">
      <w:start w:val="1"/>
      <w:numFmt w:val="bullet"/>
      <w:lvlText w:val=""/>
      <w:lvlJc w:val="left"/>
      <w:pPr>
        <w:ind w:left="5040" w:hanging="360"/>
      </w:pPr>
      <w:rPr>
        <w:rFonts w:ascii="Symbol" w:hAnsi="Symbol" w:hint="default"/>
      </w:rPr>
    </w:lvl>
    <w:lvl w:ilvl="7" w:tplc="AD9EF5F2" w:tentative="1">
      <w:start w:val="1"/>
      <w:numFmt w:val="bullet"/>
      <w:lvlText w:val="o"/>
      <w:lvlJc w:val="left"/>
      <w:pPr>
        <w:ind w:left="5760" w:hanging="360"/>
      </w:pPr>
      <w:rPr>
        <w:rFonts w:ascii="Courier New" w:hAnsi="Courier New" w:cs="Courier New" w:hint="default"/>
      </w:rPr>
    </w:lvl>
    <w:lvl w:ilvl="8" w:tplc="D1789F26" w:tentative="1">
      <w:start w:val="1"/>
      <w:numFmt w:val="bullet"/>
      <w:lvlText w:val=""/>
      <w:lvlJc w:val="left"/>
      <w:pPr>
        <w:ind w:left="6480" w:hanging="360"/>
      </w:pPr>
      <w:rPr>
        <w:rFonts w:ascii="Wingdings" w:hAnsi="Wingdings" w:hint="default"/>
      </w:rPr>
    </w:lvl>
  </w:abstractNum>
  <w:abstractNum w:abstractNumId="24" w15:restartNumberingAfterBreak="0">
    <w:nsid w:val="74094F88"/>
    <w:multiLevelType w:val="hybridMultilevel"/>
    <w:tmpl w:val="E7FC6238"/>
    <w:lvl w:ilvl="0" w:tplc="942A7AF2">
      <w:start w:val="1"/>
      <w:numFmt w:val="decimal"/>
      <w:lvlText w:val="%1."/>
      <w:lvlJc w:val="left"/>
      <w:pPr>
        <w:ind w:left="360" w:hanging="360"/>
      </w:pPr>
      <w:rPr>
        <w:rFonts w:cs="Times New Roman" w:hint="default"/>
      </w:rPr>
    </w:lvl>
    <w:lvl w:ilvl="1" w:tplc="3C6E9976" w:tentative="1">
      <w:start w:val="1"/>
      <w:numFmt w:val="lowerLetter"/>
      <w:lvlText w:val="%2."/>
      <w:lvlJc w:val="left"/>
      <w:pPr>
        <w:ind w:left="1222" w:hanging="360"/>
      </w:pPr>
      <w:rPr>
        <w:rFonts w:cs="Times New Roman"/>
      </w:rPr>
    </w:lvl>
    <w:lvl w:ilvl="2" w:tplc="ABD21E00" w:tentative="1">
      <w:start w:val="1"/>
      <w:numFmt w:val="lowerRoman"/>
      <w:lvlText w:val="%3."/>
      <w:lvlJc w:val="right"/>
      <w:pPr>
        <w:ind w:left="1942" w:hanging="180"/>
      </w:pPr>
      <w:rPr>
        <w:rFonts w:cs="Times New Roman"/>
      </w:rPr>
    </w:lvl>
    <w:lvl w:ilvl="3" w:tplc="66C61580" w:tentative="1">
      <w:start w:val="1"/>
      <w:numFmt w:val="decimal"/>
      <w:lvlText w:val="%4."/>
      <w:lvlJc w:val="left"/>
      <w:pPr>
        <w:ind w:left="2662" w:hanging="360"/>
      </w:pPr>
      <w:rPr>
        <w:rFonts w:cs="Times New Roman"/>
      </w:rPr>
    </w:lvl>
    <w:lvl w:ilvl="4" w:tplc="1576ACE6" w:tentative="1">
      <w:start w:val="1"/>
      <w:numFmt w:val="lowerLetter"/>
      <w:lvlText w:val="%5."/>
      <w:lvlJc w:val="left"/>
      <w:pPr>
        <w:ind w:left="3382" w:hanging="360"/>
      </w:pPr>
      <w:rPr>
        <w:rFonts w:cs="Times New Roman"/>
      </w:rPr>
    </w:lvl>
    <w:lvl w:ilvl="5" w:tplc="86FCE176" w:tentative="1">
      <w:start w:val="1"/>
      <w:numFmt w:val="lowerRoman"/>
      <w:lvlText w:val="%6."/>
      <w:lvlJc w:val="right"/>
      <w:pPr>
        <w:ind w:left="4102" w:hanging="180"/>
      </w:pPr>
      <w:rPr>
        <w:rFonts w:cs="Times New Roman"/>
      </w:rPr>
    </w:lvl>
    <w:lvl w:ilvl="6" w:tplc="1A962ECE" w:tentative="1">
      <w:start w:val="1"/>
      <w:numFmt w:val="decimal"/>
      <w:lvlText w:val="%7."/>
      <w:lvlJc w:val="left"/>
      <w:pPr>
        <w:ind w:left="4822" w:hanging="360"/>
      </w:pPr>
      <w:rPr>
        <w:rFonts w:cs="Times New Roman"/>
      </w:rPr>
    </w:lvl>
    <w:lvl w:ilvl="7" w:tplc="ED34826C" w:tentative="1">
      <w:start w:val="1"/>
      <w:numFmt w:val="lowerLetter"/>
      <w:lvlText w:val="%8."/>
      <w:lvlJc w:val="left"/>
      <w:pPr>
        <w:ind w:left="5542" w:hanging="360"/>
      </w:pPr>
      <w:rPr>
        <w:rFonts w:cs="Times New Roman"/>
      </w:rPr>
    </w:lvl>
    <w:lvl w:ilvl="8" w:tplc="E626F3C4" w:tentative="1">
      <w:start w:val="1"/>
      <w:numFmt w:val="lowerRoman"/>
      <w:lvlText w:val="%9."/>
      <w:lvlJc w:val="right"/>
      <w:pPr>
        <w:ind w:left="6262" w:hanging="180"/>
      </w:pPr>
      <w:rPr>
        <w:rFonts w:cs="Times New Roman"/>
      </w:rPr>
    </w:lvl>
  </w:abstractNum>
  <w:num w:numId="1">
    <w:abstractNumId w:val="0"/>
  </w:num>
  <w:num w:numId="2">
    <w:abstractNumId w:val="8"/>
  </w:num>
  <w:num w:numId="3">
    <w:abstractNumId w:val="24"/>
  </w:num>
  <w:num w:numId="4">
    <w:abstractNumId w:val="20"/>
  </w:num>
  <w:num w:numId="5">
    <w:abstractNumId w:val="22"/>
  </w:num>
  <w:num w:numId="6">
    <w:abstractNumId w:val="11"/>
  </w:num>
  <w:num w:numId="7">
    <w:abstractNumId w:val="7"/>
  </w:num>
  <w:num w:numId="8">
    <w:abstractNumId w:val="6"/>
  </w:num>
  <w:num w:numId="9">
    <w:abstractNumId w:val="21"/>
  </w:num>
  <w:num w:numId="10">
    <w:abstractNumId w:val="19"/>
  </w:num>
  <w:num w:numId="11">
    <w:abstractNumId w:val="2"/>
  </w:num>
  <w:num w:numId="12">
    <w:abstractNumId w:val="3"/>
  </w:num>
  <w:num w:numId="13">
    <w:abstractNumId w:val="14"/>
  </w:num>
  <w:num w:numId="14">
    <w:abstractNumId w:val="13"/>
  </w:num>
  <w:num w:numId="15">
    <w:abstractNumId w:val="17"/>
  </w:num>
  <w:num w:numId="16">
    <w:abstractNumId w:val="18"/>
  </w:num>
  <w:num w:numId="17">
    <w:abstractNumId w:val="1"/>
  </w:num>
  <w:num w:numId="18">
    <w:abstractNumId w:val="23"/>
  </w:num>
  <w:num w:numId="19">
    <w:abstractNumId w:val="12"/>
  </w:num>
  <w:num w:numId="20">
    <w:abstractNumId w:val="4"/>
  </w:num>
  <w:num w:numId="21">
    <w:abstractNumId w:val="15"/>
  </w:num>
  <w:num w:numId="22">
    <w:abstractNumId w:val="5"/>
  </w:num>
  <w:num w:numId="23">
    <w:abstractNumId w:val="9"/>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BA"/>
    <w:rsid w:val="00476CE6"/>
    <w:rsid w:val="006D2710"/>
    <w:rsid w:val="007F00BA"/>
    <w:rsid w:val="00943C19"/>
    <w:rsid w:val="00C27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048573-B170-435E-9332-A66D808A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D8"/>
    <w:rPr>
      <w:rFonts w:ascii="Arial" w:hAnsi="Arial"/>
      <w:sz w:val="24"/>
    </w:rPr>
  </w:style>
  <w:style w:type="paragraph" w:styleId="Heading2">
    <w:name w:val="heading 2"/>
    <w:basedOn w:val="Normal"/>
    <w:next w:val="Normal"/>
    <w:link w:val="Heading2Char"/>
    <w:uiPriority w:val="9"/>
    <w:semiHidden/>
    <w:unhideWhenUsed/>
    <w:qFormat/>
    <w:locked/>
    <w:rsid w:val="0077384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locked/>
    <w:rsid w:val="0077384F"/>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C17CD8"/>
    <w:pPr>
      <w:keepNext/>
      <w:outlineLvl w:val="5"/>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77384F"/>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locked/>
    <w:rsid w:val="0077384F"/>
    <w:rPr>
      <w:rFonts w:ascii="Cambria" w:hAnsi="Cambria" w:cs="Times New Roman"/>
      <w:b/>
      <w:bCs/>
      <w:color w:val="4F81BD"/>
      <w:sz w:val="20"/>
      <w:szCs w:val="20"/>
    </w:rPr>
  </w:style>
  <w:style w:type="character" w:customStyle="1" w:styleId="Heading6Char">
    <w:name w:val="Heading 6 Char"/>
    <w:basedOn w:val="DefaultParagraphFont"/>
    <w:link w:val="Heading6"/>
    <w:uiPriority w:val="99"/>
    <w:semiHidden/>
    <w:locked/>
    <w:rsid w:val="00A70443"/>
    <w:rPr>
      <w:rFonts w:ascii="Calibri" w:hAnsi="Calibri" w:cs="Times New Roman"/>
      <w:b/>
      <w:bCs/>
    </w:rPr>
  </w:style>
  <w:style w:type="paragraph" w:styleId="Header">
    <w:name w:val="header"/>
    <w:basedOn w:val="Normal"/>
    <w:link w:val="HeaderChar"/>
    <w:uiPriority w:val="99"/>
    <w:rsid w:val="00C17CD8"/>
    <w:rPr>
      <w:rFonts w:ascii="Universal" w:hAnsi="Universal"/>
    </w:rPr>
  </w:style>
  <w:style w:type="character" w:customStyle="1" w:styleId="HeaderChar">
    <w:name w:val="Header Char"/>
    <w:basedOn w:val="DefaultParagraphFont"/>
    <w:link w:val="Header"/>
    <w:uiPriority w:val="99"/>
    <w:locked/>
    <w:rsid w:val="00A70443"/>
    <w:rPr>
      <w:rFonts w:ascii="Arial" w:hAnsi="Arial" w:cs="Times New Roman"/>
      <w:sz w:val="20"/>
      <w:szCs w:val="20"/>
    </w:rPr>
  </w:style>
  <w:style w:type="paragraph" w:styleId="Footer">
    <w:name w:val="footer"/>
    <w:basedOn w:val="Normal"/>
    <w:link w:val="FooterChar"/>
    <w:uiPriority w:val="99"/>
    <w:rsid w:val="00C17CD8"/>
    <w:pPr>
      <w:tabs>
        <w:tab w:val="center" w:pos="4153"/>
        <w:tab w:val="right" w:pos="8306"/>
      </w:tabs>
    </w:pPr>
  </w:style>
  <w:style w:type="character" w:customStyle="1" w:styleId="FooterChar">
    <w:name w:val="Footer Char"/>
    <w:basedOn w:val="DefaultParagraphFont"/>
    <w:link w:val="Footer"/>
    <w:uiPriority w:val="99"/>
    <w:locked/>
    <w:rsid w:val="00A70443"/>
    <w:rPr>
      <w:rFonts w:ascii="Arial" w:hAnsi="Arial" w:cs="Times New Roman"/>
      <w:sz w:val="20"/>
      <w:szCs w:val="20"/>
    </w:rPr>
  </w:style>
  <w:style w:type="character" w:styleId="PageNumber">
    <w:name w:val="page number"/>
    <w:basedOn w:val="DefaultParagraphFont"/>
    <w:uiPriority w:val="99"/>
    <w:rsid w:val="00C17CD8"/>
    <w:rPr>
      <w:rFonts w:cs="Times New Roman"/>
    </w:rPr>
  </w:style>
  <w:style w:type="paragraph" w:styleId="PlainText">
    <w:name w:val="Plain Text"/>
    <w:basedOn w:val="Normal"/>
    <w:link w:val="PlainTextChar"/>
    <w:uiPriority w:val="99"/>
    <w:semiHidden/>
    <w:rsid w:val="00C17CD8"/>
    <w:rPr>
      <w:rFonts w:ascii="Consolas" w:hAnsi="Consolas"/>
      <w:sz w:val="21"/>
      <w:szCs w:val="21"/>
    </w:rPr>
  </w:style>
  <w:style w:type="character" w:customStyle="1" w:styleId="PlainTextChar">
    <w:name w:val="Plain Text Char"/>
    <w:basedOn w:val="DefaultParagraphFont"/>
    <w:link w:val="PlainText"/>
    <w:uiPriority w:val="99"/>
    <w:semiHidden/>
    <w:locked/>
    <w:rsid w:val="00C17CD8"/>
    <w:rPr>
      <w:rFonts w:ascii="Consolas" w:hAnsi="Consolas" w:cs="Times New Roman"/>
      <w:sz w:val="21"/>
      <w:szCs w:val="21"/>
      <w:lang w:val="en-GB" w:eastAsia="en-GB" w:bidi="ar-SA"/>
    </w:rPr>
  </w:style>
  <w:style w:type="paragraph" w:styleId="BalloonText">
    <w:name w:val="Balloon Text"/>
    <w:basedOn w:val="Normal"/>
    <w:link w:val="BalloonTextChar"/>
    <w:uiPriority w:val="99"/>
    <w:semiHidden/>
    <w:rsid w:val="00F55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0443"/>
    <w:rPr>
      <w:rFonts w:cs="Times New Roman"/>
      <w:sz w:val="2"/>
    </w:rPr>
  </w:style>
  <w:style w:type="character" w:styleId="CommentReference">
    <w:name w:val="annotation reference"/>
    <w:basedOn w:val="DefaultParagraphFont"/>
    <w:uiPriority w:val="99"/>
    <w:semiHidden/>
    <w:rsid w:val="00D46C89"/>
    <w:rPr>
      <w:rFonts w:cs="Times New Roman"/>
      <w:sz w:val="16"/>
      <w:szCs w:val="16"/>
    </w:rPr>
  </w:style>
  <w:style w:type="paragraph" w:styleId="CommentText">
    <w:name w:val="annotation text"/>
    <w:basedOn w:val="Normal"/>
    <w:link w:val="CommentTextChar"/>
    <w:uiPriority w:val="99"/>
    <w:semiHidden/>
    <w:rsid w:val="00D46C89"/>
    <w:rPr>
      <w:sz w:val="20"/>
    </w:rPr>
  </w:style>
  <w:style w:type="character" w:customStyle="1" w:styleId="CommentTextChar">
    <w:name w:val="Comment Text Char"/>
    <w:basedOn w:val="DefaultParagraphFont"/>
    <w:link w:val="CommentText"/>
    <w:uiPriority w:val="99"/>
    <w:semiHidden/>
    <w:locked/>
    <w:rsid w:val="00A7044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46C89"/>
    <w:rPr>
      <w:b/>
      <w:bCs/>
    </w:rPr>
  </w:style>
  <w:style w:type="character" w:customStyle="1" w:styleId="CommentSubjectChar">
    <w:name w:val="Comment Subject Char"/>
    <w:basedOn w:val="CommentTextChar"/>
    <w:link w:val="CommentSubject"/>
    <w:uiPriority w:val="99"/>
    <w:semiHidden/>
    <w:locked/>
    <w:rsid w:val="00A70443"/>
    <w:rPr>
      <w:rFonts w:ascii="Arial" w:hAnsi="Arial" w:cs="Times New Roman"/>
      <w:b/>
      <w:bCs/>
      <w:sz w:val="20"/>
      <w:szCs w:val="20"/>
    </w:rPr>
  </w:style>
  <w:style w:type="table" w:styleId="TableGrid">
    <w:name w:val="Table Grid"/>
    <w:basedOn w:val="TableNormal"/>
    <w:uiPriority w:val="59"/>
    <w:rsid w:val="0027412A"/>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6DA8"/>
    <w:pPr>
      <w:spacing w:after="200" w:line="276" w:lineRule="auto"/>
      <w:ind w:left="720"/>
      <w:contextualSpacing/>
    </w:pPr>
    <w:rPr>
      <w:szCs w:val="22"/>
      <w:lang w:eastAsia="en-US"/>
    </w:rPr>
  </w:style>
  <w:style w:type="table" w:styleId="LightShading-Accent2">
    <w:name w:val="Light Shading Accent 2"/>
    <w:basedOn w:val="TableNormal"/>
    <w:uiPriority w:val="60"/>
    <w:rsid w:val="00DF6703"/>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styleId="Hyperlink">
    <w:name w:val="Hyperlink"/>
    <w:basedOn w:val="DefaultParagraphFont"/>
    <w:uiPriority w:val="99"/>
    <w:unhideWhenUsed/>
    <w:rsid w:val="00FE5BB6"/>
    <w:rPr>
      <w:rFonts w:cs="Times New Roman"/>
      <w:color w:val="0000FF"/>
      <w:u w:val="single"/>
    </w:rPr>
  </w:style>
  <w:style w:type="character" w:styleId="FollowedHyperlink">
    <w:name w:val="FollowedHyperlink"/>
    <w:basedOn w:val="DefaultParagraphFont"/>
    <w:uiPriority w:val="99"/>
    <w:semiHidden/>
    <w:unhideWhenUsed/>
    <w:rsid w:val="003D64C1"/>
    <w:rPr>
      <w:rFonts w:cs="Times New Roman"/>
      <w:color w:val="800080"/>
      <w:u w:val="single"/>
    </w:rPr>
  </w:style>
  <w:style w:type="paragraph" w:styleId="Revision">
    <w:name w:val="Revision"/>
    <w:hidden/>
    <w:uiPriority w:val="99"/>
    <w:semiHidden/>
    <w:rsid w:val="00AD6830"/>
    <w:rPr>
      <w:rFonts w:ascii="Arial" w:hAnsi="Arial"/>
      <w:sz w:val="24"/>
    </w:rPr>
  </w:style>
  <w:style w:type="table" w:customStyle="1" w:styleId="TableGrid1">
    <w:name w:val="Table Grid1"/>
    <w:basedOn w:val="TableNormal"/>
    <w:next w:val="TableGrid"/>
    <w:uiPriority w:val="59"/>
    <w:rsid w:val="00F0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0C7"/>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unhideWhenUsed/>
    <w:rsid w:val="00152D50"/>
    <w:pPr>
      <w:spacing w:after="135" w:line="270" w:lineRule="atLeast"/>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orpData02\Res\County%20Treasurer\Treasury\Cashflow%20&amp;%20Dealing\Daily%20Deals\2017-18\Debt%20Monitoring%2017-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99785926976047"/>
          <c:y val="4.2406400230898977E-2"/>
          <c:w val="0.81550428696412947"/>
          <c:h val="0.74983864130385758"/>
        </c:manualLayout>
      </c:layout>
      <c:scatterChart>
        <c:scatterStyle val="lineMarker"/>
        <c:varyColors val="0"/>
        <c:ser>
          <c:idx val="0"/>
          <c:order val="0"/>
          <c:tx>
            <c:strRef>
              <c:f>Data!$Q$3</c:f>
              <c:strCache>
                <c:ptCount val="1"/>
                <c:pt idx="0">
                  <c:v>Operational Boundary</c:v>
                </c:pt>
              </c:strCache>
            </c:strRef>
          </c:tx>
          <c:spPr>
            <a:ln w="28575" cap="rnd">
              <a:solidFill>
                <a:schemeClr val="tx2">
                  <a:lumMod val="60000"/>
                  <a:lumOff val="40000"/>
                </a:schemeClr>
              </a:solidFill>
              <a:prstDash val="dash"/>
              <a:round/>
            </a:ln>
            <a:effectLst/>
          </c:spPr>
          <c:marker>
            <c:symbol val="none"/>
          </c:marker>
          <c:xVal>
            <c:numRef>
              <c:f>Data!$P$4:$P$16</c:f>
              <c:numCache>
                <c:formatCode>d\-mmm\-yy</c:formatCode>
                <c:ptCount val="13"/>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numCache>
            </c:numRef>
          </c:xVal>
          <c:yVal>
            <c:numRef>
              <c:f>Data!$Q$4:$Q$16</c:f>
              <c:numCache>
                <c:formatCode>_-* #,##0_-;\-* #,##0_-;_-* "-"??_-;_-@_-</c:formatCode>
                <c:ptCount val="13"/>
                <c:pt idx="0">
                  <c:v>1245</c:v>
                </c:pt>
                <c:pt idx="1">
                  <c:v>1245</c:v>
                </c:pt>
                <c:pt idx="2">
                  <c:v>1245</c:v>
                </c:pt>
                <c:pt idx="3">
                  <c:v>1245</c:v>
                </c:pt>
                <c:pt idx="4">
                  <c:v>1245</c:v>
                </c:pt>
                <c:pt idx="5">
                  <c:v>1245</c:v>
                </c:pt>
                <c:pt idx="6">
                  <c:v>1245</c:v>
                </c:pt>
                <c:pt idx="7">
                  <c:v>1245</c:v>
                </c:pt>
                <c:pt idx="8">
                  <c:v>1245</c:v>
                </c:pt>
                <c:pt idx="9">
                  <c:v>1245</c:v>
                </c:pt>
                <c:pt idx="10">
                  <c:v>1245</c:v>
                </c:pt>
                <c:pt idx="11">
                  <c:v>1245</c:v>
                </c:pt>
                <c:pt idx="12">
                  <c:v>1245</c:v>
                </c:pt>
              </c:numCache>
            </c:numRef>
          </c:yVal>
          <c:smooth val="0"/>
        </c:ser>
        <c:ser>
          <c:idx val="1"/>
          <c:order val="1"/>
          <c:tx>
            <c:strRef>
              <c:f>Data!$R$3</c:f>
              <c:strCache>
                <c:ptCount val="1"/>
                <c:pt idx="0">
                  <c:v>Authorised Limit</c:v>
                </c:pt>
              </c:strCache>
            </c:strRef>
          </c:tx>
          <c:spPr>
            <a:ln w="28575" cap="rnd">
              <a:solidFill>
                <a:srgbClr val="FF0000"/>
              </a:solidFill>
              <a:round/>
            </a:ln>
            <a:effectLst/>
          </c:spPr>
          <c:marker>
            <c:symbol val="none"/>
          </c:marker>
          <c:xVal>
            <c:numRef>
              <c:f>Data!$P$4:$P$16</c:f>
              <c:numCache>
                <c:formatCode>d\-mmm\-yy</c:formatCode>
                <c:ptCount val="13"/>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numCache>
            </c:numRef>
          </c:xVal>
          <c:yVal>
            <c:numRef>
              <c:f>Data!$R$4:$R$16</c:f>
              <c:numCache>
                <c:formatCode>_-* #,##0_-;\-* #,##0_-;_-* "-"??_-;_-@_-</c:formatCode>
                <c:ptCount val="13"/>
                <c:pt idx="0">
                  <c:v>1300</c:v>
                </c:pt>
                <c:pt idx="1">
                  <c:v>1300</c:v>
                </c:pt>
                <c:pt idx="2">
                  <c:v>1300</c:v>
                </c:pt>
                <c:pt idx="3">
                  <c:v>1300</c:v>
                </c:pt>
                <c:pt idx="4">
                  <c:v>1300</c:v>
                </c:pt>
                <c:pt idx="5">
                  <c:v>1300</c:v>
                </c:pt>
                <c:pt idx="6">
                  <c:v>1300</c:v>
                </c:pt>
                <c:pt idx="7">
                  <c:v>1300</c:v>
                </c:pt>
                <c:pt idx="8">
                  <c:v>1300</c:v>
                </c:pt>
                <c:pt idx="9">
                  <c:v>1300</c:v>
                </c:pt>
                <c:pt idx="10">
                  <c:v>1300</c:v>
                </c:pt>
                <c:pt idx="11">
                  <c:v>1300</c:v>
                </c:pt>
                <c:pt idx="12">
                  <c:v>1300</c:v>
                </c:pt>
              </c:numCache>
            </c:numRef>
          </c:yVal>
          <c:smooth val="0"/>
        </c:ser>
        <c:ser>
          <c:idx val="2"/>
          <c:order val="2"/>
          <c:tx>
            <c:strRef>
              <c:f>Data!$S$3</c:f>
              <c:strCache>
                <c:ptCount val="1"/>
                <c:pt idx="0">
                  <c:v>Total Debt (Incl PFI)</c:v>
                </c:pt>
              </c:strCache>
            </c:strRef>
          </c:tx>
          <c:spPr>
            <a:ln w="28575" cap="rnd">
              <a:solidFill>
                <a:schemeClr val="tx1"/>
              </a:solidFill>
              <a:prstDash val="sysDot"/>
              <a:round/>
            </a:ln>
            <a:effectLst/>
          </c:spPr>
          <c:marker>
            <c:symbol val="none"/>
          </c:marker>
          <c:xVal>
            <c:numRef>
              <c:f>Data!$P$4:$P$16</c:f>
              <c:numCache>
                <c:formatCode>d\-mmm\-yy</c:formatCode>
                <c:ptCount val="13"/>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pt idx="12">
                  <c:v>43191</c:v>
                </c:pt>
              </c:numCache>
            </c:numRef>
          </c:xVal>
          <c:yVal>
            <c:numRef>
              <c:f>Data!$S$4:$S$16</c:f>
              <c:numCache>
                <c:formatCode>_-* #,##0_-;\-* #,##0_-;_-* "-"??_-;_-@_-</c:formatCode>
                <c:ptCount val="13"/>
                <c:pt idx="0">
                  <c:v>1203.7169295797405</c:v>
                </c:pt>
                <c:pt idx="1">
                  <c:v>1168.6519295797405</c:v>
                </c:pt>
                <c:pt idx="2">
                  <c:v>1173.7319295797406</c:v>
                </c:pt>
                <c:pt idx="3">
                  <c:v>1152.6869295797405</c:v>
                </c:pt>
                <c:pt idx="4">
                  <c:v>1213.5919295797405</c:v>
                </c:pt>
                <c:pt idx="5">
                  <c:v>1199.8419295797405</c:v>
                </c:pt>
                <c:pt idx="6">
                  <c:v>1164.5919295797405</c:v>
                </c:pt>
                <c:pt idx="7">
                  <c:v>1206.1519295797405</c:v>
                </c:pt>
                <c:pt idx="8">
                  <c:v>1188.8619295797405</c:v>
                </c:pt>
                <c:pt idx="9">
                  <c:v>1219.9919295797406</c:v>
                </c:pt>
                <c:pt idx="10">
                  <c:v>1171.9919295797406</c:v>
                </c:pt>
                <c:pt idx="11">
                  <c:v>1166.9919295797406</c:v>
                </c:pt>
                <c:pt idx="12">
                  <c:v>1155.9919295797406</c:v>
                </c:pt>
              </c:numCache>
            </c:numRef>
          </c:yVal>
          <c:smooth val="0"/>
        </c:ser>
        <c:dLbls>
          <c:showLegendKey val="0"/>
          <c:showVal val="0"/>
          <c:showCatName val="0"/>
          <c:showSerName val="0"/>
          <c:showPercent val="0"/>
          <c:showBubbleSize val="0"/>
        </c:dLbls>
        <c:axId val="5177928"/>
        <c:axId val="294974840"/>
      </c:scatterChart>
      <c:valAx>
        <c:axId val="5177928"/>
        <c:scaling>
          <c:orientation val="minMax"/>
          <c:max val="43200"/>
          <c:min val="42826"/>
        </c:scaling>
        <c:delete val="0"/>
        <c:axPos val="b"/>
        <c:minorGridlines>
          <c:spPr>
            <a:ln w="9525">
              <a:solidFill>
                <a:schemeClr val="bg1"/>
              </a:solidFill>
              <a:round/>
            </a:ln>
            <a:effectLst/>
          </c:spPr>
        </c:minorGridlines>
        <c:numFmt formatCode="d\-mmm\-yy" sourceLinked="1"/>
        <c:majorTickMark val="in"/>
        <c:minorTickMark val="none"/>
        <c:tickLblPos val="nextTo"/>
        <c:spPr>
          <a:noFill/>
          <a:ln>
            <a:solidFill>
              <a:schemeClr val="tx1"/>
            </a:solidFill>
          </a:ln>
          <a:effectLst/>
        </c:spPr>
        <c:txPr>
          <a:bodyPr rot="2700000" spcFirstLastPara="1" vertOverflow="ellipsis"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294974840"/>
        <c:crosses val="autoZero"/>
        <c:crossBetween val="midCat"/>
        <c:majorUnit val="30.45"/>
        <c:minorUnit val="1"/>
      </c:valAx>
      <c:valAx>
        <c:axId val="294974840"/>
        <c:scaling>
          <c:orientation val="minMax"/>
          <c:min val="950"/>
        </c:scaling>
        <c:delete val="0"/>
        <c:axPos val="l"/>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GB" sz="1200" b="1"/>
                  <a:t>£</a:t>
                </a:r>
                <a:r>
                  <a:rPr lang="en-GB" sz="1200" b="1" baseline="0"/>
                  <a:t> Millions</a:t>
                </a:r>
                <a:endParaRPr lang="en-GB" sz="1200" b="1"/>
              </a:p>
            </c:rich>
          </c:tx>
          <c:layout>
            <c:manualLayout>
              <c:xMode val="edge"/>
              <c:yMode val="edge"/>
              <c:x val="1.8798524310335342E-3"/>
              <c:y val="0.39330501213121555"/>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none"/>
        <c:minorTickMark val="out"/>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5177928"/>
        <c:crossesAt val="42461"/>
        <c:crossBetween val="midCat"/>
      </c:valAx>
      <c:spPr>
        <a:noFill/>
        <a:ln>
          <a:solidFill>
            <a:schemeClr val="tx1"/>
          </a:solidFill>
        </a:ln>
        <a:effectLst/>
      </c:spPr>
    </c:plotArea>
    <c:legend>
      <c:legendPos val="b"/>
      <c:layout>
        <c:manualLayout>
          <c:xMode val="edge"/>
          <c:yMode val="edge"/>
          <c:x val="0.20100985628544685"/>
          <c:y val="0.53612432466560234"/>
          <c:w val="0.59898998026706518"/>
          <c:h val="4.92341043640244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span"/>
    <c:showDLblsOverMax val="0"/>
  </c:chart>
  <c:spPr>
    <a:solidFill>
      <a:schemeClr val="bg1"/>
    </a:solidFill>
    <a:ln w="9525">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A6EC5-6611-4596-9EAE-4FB3F56F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6</Pages>
  <Words>1678</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Lancashire County Council</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Lancashire Council</dc:creator>
  <cp:keywords>Council meetings;Government, politics and public administration; Local government; Decision making; Council meetings;</cp:keywords>
  <cp:lastModifiedBy>Gorman, Dave</cp:lastModifiedBy>
  <cp:revision>36</cp:revision>
  <cp:lastPrinted>2015-09-04T11:23:00Z</cp:lastPrinted>
  <dcterms:created xsi:type="dcterms:W3CDTF">2017-12-07T14:33:00Z</dcterms:created>
  <dcterms:modified xsi:type="dcterms:W3CDTF">2018-01-16T10:21:00Z</dcterms:modified>
</cp:coreProperties>
</file>